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3208F6">
      <w:pPr>
        <w:pStyle w:val="a4"/>
        <w:jc w:val="center"/>
        <w:rPr>
          <w:sz w:val="20"/>
        </w:rPr>
      </w:pPr>
      <w:bookmarkStart w:id="0" w:name="_GoBack"/>
      <w:bookmarkEnd w:id="0"/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D428A5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576E4C" w:rsidRPr="00576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61</w:t>
      </w:r>
      <w:r w:rsidR="00F45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5D2826" w:rsidRDefault="000513FE" w:rsidP="00B93DFC">
      <w:pPr>
        <w:pStyle w:val="1"/>
        <w:ind w:right="2313"/>
        <w:jc w:val="center"/>
        <w:rPr>
          <w:lang w:val="en-US"/>
        </w:rPr>
      </w:pPr>
      <w:r>
        <w:t xml:space="preserve">РІШЕННЯ № </w:t>
      </w:r>
      <w:r w:rsidR="00576E4C" w:rsidRPr="00AF6823">
        <w:rPr>
          <w:lang w:val="ru-RU"/>
        </w:rPr>
        <w:t>61</w:t>
      </w:r>
      <w:r w:rsidR="00576E4C">
        <w:rPr>
          <w:lang w:val="ru-RU"/>
        </w:rPr>
        <w:t>/</w:t>
      </w:r>
      <w:r w:rsidR="005D2826" w:rsidRPr="005D2826">
        <w:rPr>
          <w:lang w:val="ru-RU"/>
        </w:rPr>
        <w:t>3</w:t>
      </w:r>
      <w:r w:rsidR="005D2826">
        <w:rPr>
          <w:lang w:val="en-US"/>
        </w:rPr>
        <w:t>430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576E4C" w:rsidRPr="00576E4C">
        <w:rPr>
          <w:b/>
        </w:rPr>
        <w:t xml:space="preserve">19 </w:t>
      </w:r>
      <w:r w:rsidR="00576E4C">
        <w:rPr>
          <w:b/>
        </w:rPr>
        <w:t>грудня</w:t>
      </w:r>
      <w:r w:rsidR="002169BE" w:rsidRPr="00576E4C">
        <w:rPr>
          <w:b/>
        </w:rPr>
        <w:t xml:space="preserve"> </w:t>
      </w:r>
      <w:r w:rsidR="00D428A5" w:rsidRPr="00576E4C">
        <w:rPr>
          <w:b/>
        </w:rPr>
        <w:t>2024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D2826" w:rsidRPr="005D2826" w:rsidRDefault="005D2826" w:rsidP="005D2826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28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:rsidR="005D2826" w:rsidRPr="005D2826" w:rsidRDefault="005D2826" w:rsidP="005D2826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28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5D28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:rsidR="005D2826" w:rsidRPr="005D2826" w:rsidRDefault="005D2826" w:rsidP="005D2826">
      <w:pPr>
        <w:spacing w:line="254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35473E" w:rsidRPr="0035473E" w:rsidRDefault="0035473E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D428A5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40A6E"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         </w:t>
      </w:r>
      <w:r w:rsidR="00194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Марина САВЧУК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Тетяна ПЕТРЕНКО</w:t>
      </w:r>
    </w:p>
    <w:p w:rsid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99F" w:rsidRDefault="0070599F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61</w:t>
      </w:r>
      <w:r w:rsidR="00F454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5D2826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19 грудня 2024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B93DFC" w:rsidRPr="003547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61/</w:t>
      </w:r>
      <w:r w:rsidR="005D2826">
        <w:rPr>
          <w:rFonts w:ascii="Times New Roman" w:eastAsia="Times New Roman" w:hAnsi="Times New Roman" w:cs="Times New Roman"/>
          <w:sz w:val="28"/>
          <w:szCs w:val="28"/>
          <w:lang w:eastAsia="ru-RU"/>
        </w:rPr>
        <w:t>3430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9E6484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62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Боярка - 2024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5D282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5D282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5D282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5D282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5D282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4E33C8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1 550 000, 00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6E4C" w:rsidRDefault="00576E4C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lastRenderedPageBreak/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lastRenderedPageBreak/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Придбання предметів та матеріалів для облаштування об’єктів для підрозділів 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Pr="004E33C8" w:rsidRDefault="00576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850 000,00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 xml:space="preserve">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видатків 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5D282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576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</w:t>
            </w:r>
            <w:r w:rsidR="00576E4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ди ім. Є. Коновальця, та бригад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Нац</w:t>
            </w:r>
            <w:r w:rsidR="008362F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іональної </w:t>
            </w:r>
            <w:r w:rsidR="00576E4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ЗДО «Даринка»</w:t>
            </w:r>
            <w:r w:rsidR="00D42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ФО-П Шевчук В.П.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576E4C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700 00,00</w:t>
            </w:r>
            <w:r w:rsidR="003208F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lastRenderedPageBreak/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Пояснювальна записка до проєкту рішення</w:t>
      </w:r>
    </w:p>
    <w:p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Програма заходів Національного спротиву Боярської місько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територіальної громади на 2025</w:t>
      </w: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рік, розроблена 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Комплексне завдання програми: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підготовка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матеріально-технічне забезпечення потреб добровольчого формування;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задоволення продовольчих потреб добровольчого формування та цивільного населення: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евакуація/вивезення/переміщення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облаштування місць розміщення громадян, які у зв’язку з бойовими діями залишили місце проживання/перебування;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оплата інших заходів, спрямованих на підтримку цивільного населення в умовах воєнного стану;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підготовка громадян до національного спротиву у воєнний час;</w:t>
      </w:r>
    </w:p>
    <w:p w:rsidR="00DE727F" w:rsidRPr="00DE727F" w:rsidRDefault="00DE727F" w:rsidP="00DE727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9F7905" w:rsidRDefault="00DE727F" w:rsidP="009F79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Відповідно до ст.14 Закону України «Про основи національного спротиву» сільські, селищні та міські ради забезпечують у межах відповідних видатків </w:t>
      </w: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місцевих бюджетів належне фінансування заходів територіальної оборони місцевого значення.</w:t>
      </w:r>
    </w:p>
    <w:p w:rsidR="002372CB" w:rsidRPr="009F7905" w:rsidRDefault="00DE727F" w:rsidP="009F79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Roboto Condensed" w:eastAsia="Calibri" w:hAnsi="Roboto Condensed" w:cs="Times New Roman"/>
          <w:sz w:val="28"/>
          <w:szCs w:val="28"/>
          <w:lang w:val="uk-UA"/>
        </w:rPr>
        <w:t>Н</w:t>
      </w:r>
      <w:r w:rsidR="009F7905">
        <w:rPr>
          <w:rFonts w:ascii="Roboto Condensed" w:eastAsia="Calibri" w:hAnsi="Roboto Condensed" w:cs="Times New Roman"/>
          <w:sz w:val="28"/>
          <w:szCs w:val="28"/>
          <w:lang w:val="uk-UA"/>
        </w:rPr>
        <w:t>а 2025</w:t>
      </w:r>
      <w:r w:rsidRPr="00DE727F">
        <w:rPr>
          <w:rFonts w:ascii="Roboto Condensed" w:eastAsia="Calibri" w:hAnsi="Roboto Condensed" w:cs="Times New Roman"/>
          <w:sz w:val="28"/>
          <w:szCs w:val="28"/>
          <w:lang w:val="uk-UA"/>
        </w:rPr>
        <w:t xml:space="preserve"> рік, враховуючи фактичні надходження коштів, пропонуються заходи, передбачені у розділі 6 даної Програми</w:t>
      </w:r>
      <w:r w:rsidR="009F7905">
        <w:rPr>
          <w:rFonts w:ascii="Roboto Condensed" w:eastAsia="Calibri" w:hAnsi="Roboto Condensed" w:cs="Times New Roman"/>
          <w:sz w:val="28"/>
          <w:szCs w:val="28"/>
          <w:lang w:val="uk-UA"/>
        </w:rPr>
        <w:t>.</w:t>
      </w:r>
    </w:p>
    <w:sectPr w:rsidR="002372CB" w:rsidRPr="009F7905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F1610"/>
    <w:rsid w:val="0030090D"/>
    <w:rsid w:val="00304E6D"/>
    <w:rsid w:val="00310F37"/>
    <w:rsid w:val="003208F6"/>
    <w:rsid w:val="0035473E"/>
    <w:rsid w:val="00372B35"/>
    <w:rsid w:val="00374CCD"/>
    <w:rsid w:val="003A6FE2"/>
    <w:rsid w:val="003C5617"/>
    <w:rsid w:val="003E1B28"/>
    <w:rsid w:val="0041100B"/>
    <w:rsid w:val="004743CF"/>
    <w:rsid w:val="00484DF8"/>
    <w:rsid w:val="004A3D1A"/>
    <w:rsid w:val="004E2495"/>
    <w:rsid w:val="004E33C8"/>
    <w:rsid w:val="004F4E49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50035"/>
    <w:rsid w:val="007C3E35"/>
    <w:rsid w:val="007D7159"/>
    <w:rsid w:val="007E37F9"/>
    <w:rsid w:val="00833992"/>
    <w:rsid w:val="008362F5"/>
    <w:rsid w:val="008759C9"/>
    <w:rsid w:val="008D0CE5"/>
    <w:rsid w:val="008D51AB"/>
    <w:rsid w:val="008E2D37"/>
    <w:rsid w:val="008E5466"/>
    <w:rsid w:val="008F2BFF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4259"/>
    <w:rsid w:val="00A55B0F"/>
    <w:rsid w:val="00A673A0"/>
    <w:rsid w:val="00AC26A2"/>
    <w:rsid w:val="00AC7D62"/>
    <w:rsid w:val="00AF6823"/>
    <w:rsid w:val="00B10E56"/>
    <w:rsid w:val="00B31F30"/>
    <w:rsid w:val="00B728D1"/>
    <w:rsid w:val="00B77972"/>
    <w:rsid w:val="00B93DFC"/>
    <w:rsid w:val="00BC4670"/>
    <w:rsid w:val="00C17163"/>
    <w:rsid w:val="00C25B25"/>
    <w:rsid w:val="00C4632A"/>
    <w:rsid w:val="00D428A5"/>
    <w:rsid w:val="00D4296D"/>
    <w:rsid w:val="00D77321"/>
    <w:rsid w:val="00DB315E"/>
    <w:rsid w:val="00DE727F"/>
    <w:rsid w:val="00E0225B"/>
    <w:rsid w:val="00E104BD"/>
    <w:rsid w:val="00EA6C22"/>
    <w:rsid w:val="00EB6AEE"/>
    <w:rsid w:val="00EC7DA5"/>
    <w:rsid w:val="00ED0759"/>
    <w:rsid w:val="00F216D0"/>
    <w:rsid w:val="00F45490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0D9A-D445-46BD-AFE2-3F4F3FF5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15511</Words>
  <Characters>8842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2024-12-23T12:24:00Z</cp:lastPrinted>
  <dcterms:created xsi:type="dcterms:W3CDTF">2024-12-26T08:59:00Z</dcterms:created>
  <dcterms:modified xsi:type="dcterms:W3CDTF">2024-12-26T08:59:00Z</dcterms:modified>
</cp:coreProperties>
</file>