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990" w:rsidRDefault="0093610E">
      <w:pPr>
        <w:widowControl w:val="0"/>
        <w:spacing w:line="276" w:lineRule="auto"/>
        <w:ind w:hanging="2"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 w:eastAsia="Arial" w:hAnsi="Arial" w:cs="Arial"/>
        </w:rPr>
        <w:t xml:space="preserve">    </w:t>
      </w:r>
    </w:p>
    <w:tbl>
      <w:tblPr>
        <w:tblStyle w:val="af9"/>
        <w:tblW w:w="9810" w:type="dxa"/>
        <w:tblInd w:w="-352" w:type="dxa"/>
        <w:tblLayout w:type="fixed"/>
        <w:tblLook w:val="0000" w:firstRow="0" w:lastRow="0" w:firstColumn="0" w:lastColumn="0" w:noHBand="0" w:noVBand="0"/>
      </w:tblPr>
      <w:tblGrid>
        <w:gridCol w:w="9810"/>
      </w:tblGrid>
      <w:tr w:rsidR="00AC6990">
        <w:trPr>
          <w:trHeight w:val="131"/>
        </w:trPr>
        <w:tc>
          <w:tcPr>
            <w:tcW w:w="9810" w:type="dxa"/>
          </w:tcPr>
          <w:p w:rsidR="00AC6990" w:rsidRDefault="0093610E">
            <w:pPr>
              <w:ind w:hanging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C6990" w:rsidRDefault="00AC6990">
            <w:pPr>
              <w:ind w:left="-283" w:right="-262"/>
              <w:rPr>
                <w:sz w:val="28"/>
                <w:szCs w:val="28"/>
              </w:rPr>
            </w:pPr>
          </w:p>
        </w:tc>
      </w:tr>
      <w:tr w:rsidR="00AC6990">
        <w:trPr>
          <w:trHeight w:val="1260"/>
        </w:trPr>
        <w:tc>
          <w:tcPr>
            <w:tcW w:w="9810" w:type="dxa"/>
          </w:tcPr>
          <w:p w:rsidR="00AC6990" w:rsidRDefault="0093610E">
            <w:pPr>
              <w:ind w:right="-331" w:hanging="2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/>
              </w:rPr>
              <w:drawing>
                <wp:inline distT="0" distB="0" distL="114300" distR="114300">
                  <wp:extent cx="428625" cy="587375"/>
                  <wp:effectExtent l="0" t="0" r="0" b="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587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fa"/>
              <w:tblW w:w="9653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9653"/>
            </w:tblGrid>
            <w:tr w:rsidR="00AC6990">
              <w:trPr>
                <w:trHeight w:val="1590"/>
              </w:trPr>
              <w:tc>
                <w:tcPr>
                  <w:tcW w:w="9653" w:type="dxa"/>
                </w:tcPr>
                <w:p w:rsidR="00AC6990" w:rsidRDefault="0093610E">
                  <w:pPr>
                    <w:ind w:left="1" w:right="275" w:hanging="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БОЯРСЬКА МІСЬКА РАДА</w:t>
                  </w:r>
                </w:p>
                <w:p w:rsidR="00AC6990" w:rsidRDefault="0093610E">
                  <w:pPr>
                    <w:ind w:left="1" w:right="275" w:hanging="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VІІІ СКЛИКАННЯ</w:t>
                  </w:r>
                </w:p>
                <w:p w:rsidR="00AC6990" w:rsidRDefault="0093610E">
                  <w:pPr>
                    <w:ind w:left="1" w:right="275" w:hanging="3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чергова 53 сесія</w:t>
                  </w:r>
                </w:p>
                <w:p w:rsidR="00AC6990" w:rsidRDefault="00AC6990">
                  <w:pPr>
                    <w:ind w:left="1" w:hanging="3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AC6990" w:rsidRDefault="0093610E">
                  <w:pPr>
                    <w:spacing w:line="360" w:lineRule="auto"/>
                    <w:ind w:left="1" w:right="349" w:hanging="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РІШЕННЯ № 53/2994</w:t>
                  </w:r>
                </w:p>
              </w:tc>
            </w:tr>
            <w:tr w:rsidR="00AC6990">
              <w:trPr>
                <w:trHeight w:val="390"/>
              </w:trPr>
              <w:tc>
                <w:tcPr>
                  <w:tcW w:w="9653" w:type="dxa"/>
                </w:tcPr>
                <w:p w:rsidR="00AC6990" w:rsidRDefault="0093610E">
                  <w:pPr>
                    <w:ind w:left="-283" w:firstLine="283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від  11 липня 2024 року                                                                  м. Боярка</w:t>
                  </w:r>
                </w:p>
              </w:tc>
            </w:tr>
          </w:tbl>
          <w:p w:rsidR="00AC6990" w:rsidRDefault="00AC6990">
            <w:pPr>
              <w:ind w:hanging="2"/>
              <w:rPr>
                <w:sz w:val="28"/>
                <w:szCs w:val="28"/>
              </w:rPr>
            </w:pPr>
          </w:p>
        </w:tc>
      </w:tr>
    </w:tbl>
    <w:p w:rsidR="00AC6990" w:rsidRDefault="00AC6990">
      <w:pPr>
        <w:keepNext/>
        <w:ind w:hanging="2"/>
        <w:rPr>
          <w:b/>
          <w:sz w:val="28"/>
          <w:szCs w:val="28"/>
        </w:rPr>
      </w:pPr>
    </w:p>
    <w:p w:rsidR="00AC6990" w:rsidRDefault="0093610E">
      <w:pPr>
        <w:keepNext/>
        <w:rPr>
          <w:b/>
          <w:sz w:val="28"/>
          <w:szCs w:val="28"/>
        </w:rPr>
      </w:pPr>
      <w:r>
        <w:rPr>
          <w:b/>
          <w:sz w:val="28"/>
          <w:szCs w:val="28"/>
        </w:rPr>
        <w:t>Про внесення змін до Програми соціальної підтримки</w:t>
      </w:r>
    </w:p>
    <w:p w:rsidR="00AC6990" w:rsidRDefault="0093610E">
      <w:pPr>
        <w:keepNext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ветеранів війни та членів їх сімей, членів сімей</w:t>
      </w:r>
    </w:p>
    <w:p w:rsidR="00AC6990" w:rsidRDefault="0093610E">
      <w:pPr>
        <w:keepNext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загиблих (померлих) ветеранів війни,</w:t>
      </w:r>
    </w:p>
    <w:p w:rsidR="00AC6990" w:rsidRDefault="0093610E">
      <w:pPr>
        <w:keepNext/>
        <w:jc w:val="both"/>
        <w:rPr>
          <w:sz w:val="28"/>
          <w:szCs w:val="28"/>
        </w:rPr>
      </w:pPr>
      <w:r>
        <w:rPr>
          <w:b/>
          <w:sz w:val="28"/>
          <w:szCs w:val="28"/>
        </w:rPr>
        <w:t>Захисників та Захисниць України на 2024 рік</w:t>
      </w:r>
    </w:p>
    <w:p w:rsidR="00AC6990" w:rsidRDefault="0093610E">
      <w:pPr>
        <w:spacing w:before="240" w:after="240"/>
        <w:ind w:firstLine="860"/>
        <w:jc w:val="both"/>
        <w:rPr>
          <w:sz w:val="28"/>
          <w:szCs w:val="28"/>
        </w:rPr>
      </w:pPr>
      <w:r>
        <w:rPr>
          <w:sz w:val="26"/>
          <w:szCs w:val="26"/>
        </w:rPr>
        <w:t>Керуючись п. 22 ч. 1 ст. 26 Закону України «Про місцеве самоврядування в Україні»</w:t>
      </w:r>
      <w:r>
        <w:rPr>
          <w:sz w:val="28"/>
          <w:szCs w:val="28"/>
        </w:rPr>
        <w:t>, враховуючи Закон України «Про статус ветеранів війни, гарантії їх соціального захисту»,-</w:t>
      </w:r>
    </w:p>
    <w:p w:rsidR="00AC6990" w:rsidRDefault="0093610E">
      <w:pPr>
        <w:keepNext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БОЯРСЬКА МІСЬКА РАДА</w:t>
      </w:r>
    </w:p>
    <w:p w:rsidR="00AC6990" w:rsidRDefault="0093610E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 И Р І Ш И Л А:</w:t>
      </w:r>
    </w:p>
    <w:p w:rsidR="00AC6990" w:rsidRDefault="00AC6990">
      <w:pPr>
        <w:ind w:hanging="2"/>
        <w:jc w:val="both"/>
        <w:rPr>
          <w:sz w:val="28"/>
          <w:szCs w:val="28"/>
        </w:rPr>
      </w:pPr>
    </w:p>
    <w:p w:rsidR="00AC6990" w:rsidRDefault="0093610E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Програму соціальної підтримки ветеранів війни та членів їх сімей, членів сімей загиблих (померлих) ветерані</w:t>
      </w:r>
      <w:r>
        <w:rPr>
          <w:sz w:val="28"/>
          <w:szCs w:val="28"/>
        </w:rPr>
        <w:t>в війни, Захисників та Захисниць України на 2024 рік затвердженої рішенням сесії Боярської міської ради від 21.12.2023 р. № 46/2612 (зі змінами) виклавши п. 1.3. Напрямів діяльності та заходів Програми соціальної підтримки ветеранів війни та членів їх сіме</w:t>
      </w:r>
      <w:r>
        <w:rPr>
          <w:sz w:val="28"/>
          <w:szCs w:val="28"/>
        </w:rPr>
        <w:t>й, членів сімей загиблих (померлих) ветеранів війни, Захисників та Захисниць України на 2024 рік в новій редакції (додається) з внесенням відповідних змін до обсягів загального фінансування.</w:t>
      </w:r>
    </w:p>
    <w:p w:rsidR="00AC6990" w:rsidRDefault="0093610E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виконанням даного рішення покласти на  постійну ко</w:t>
      </w:r>
      <w:r>
        <w:rPr>
          <w:sz w:val="28"/>
          <w:szCs w:val="28"/>
        </w:rPr>
        <w:t>місію міської ради з питань соціального захисту населення, охорони здоров’я, учасників бойових дій, наслідків аварії на ЧАЕС.</w:t>
      </w:r>
    </w:p>
    <w:p w:rsidR="00AC6990" w:rsidRDefault="00AC6990">
      <w:pPr>
        <w:spacing w:after="200" w:line="276" w:lineRule="auto"/>
        <w:ind w:left="1" w:hanging="3"/>
        <w:rPr>
          <w:b/>
          <w:sz w:val="28"/>
          <w:szCs w:val="28"/>
        </w:rPr>
      </w:pPr>
    </w:p>
    <w:p w:rsidR="00AC6990" w:rsidRDefault="0093610E">
      <w:pPr>
        <w:spacing w:after="200" w:line="276" w:lineRule="auto"/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Міський голова                                                                  Олександр ЗАРУБІН</w:t>
      </w:r>
    </w:p>
    <w:p w:rsidR="00AC6990" w:rsidRDefault="00AC6990">
      <w:pPr>
        <w:spacing w:after="200" w:line="276" w:lineRule="auto"/>
        <w:ind w:left="1" w:hanging="3"/>
        <w:rPr>
          <w:b/>
          <w:sz w:val="28"/>
          <w:szCs w:val="28"/>
        </w:rPr>
      </w:pPr>
    </w:p>
    <w:p w:rsidR="00AC6990" w:rsidRDefault="00AC6990">
      <w:pPr>
        <w:keepLines/>
        <w:ind w:left="1" w:hanging="3"/>
        <w:rPr>
          <w:b/>
          <w:sz w:val="28"/>
          <w:szCs w:val="28"/>
        </w:rPr>
      </w:pPr>
    </w:p>
    <w:p w:rsidR="00AC6990" w:rsidRDefault="00AC6990">
      <w:pPr>
        <w:spacing w:line="276" w:lineRule="auto"/>
        <w:rPr>
          <w:b/>
          <w:sz w:val="28"/>
          <w:szCs w:val="28"/>
        </w:rPr>
      </w:pPr>
    </w:p>
    <w:p w:rsidR="00AC6990" w:rsidRDefault="00AC6990">
      <w:pPr>
        <w:ind w:left="1" w:hanging="3"/>
        <w:rPr>
          <w:color w:val="FFFFFF"/>
          <w:sz w:val="28"/>
          <w:szCs w:val="28"/>
        </w:rPr>
      </w:pPr>
    </w:p>
    <w:p w:rsidR="00AC6990" w:rsidRDefault="00AC6990">
      <w:pPr>
        <w:rPr>
          <w:color w:val="FFFFFF"/>
          <w:sz w:val="28"/>
          <w:szCs w:val="28"/>
        </w:rPr>
      </w:pPr>
    </w:p>
    <w:p w:rsidR="00AC6990" w:rsidRDefault="00AC6990">
      <w:pPr>
        <w:ind w:left="1" w:hanging="3"/>
        <w:rPr>
          <w:color w:val="FFFFFF"/>
          <w:sz w:val="28"/>
          <w:szCs w:val="28"/>
        </w:rPr>
      </w:pPr>
    </w:p>
    <w:p w:rsidR="00AC6990" w:rsidRDefault="00AC6990">
      <w:pPr>
        <w:rPr>
          <w:color w:val="FFFFFF"/>
          <w:sz w:val="28"/>
          <w:szCs w:val="28"/>
        </w:rPr>
      </w:pPr>
    </w:p>
    <w:p w:rsidR="00AC6990" w:rsidRDefault="00AC6990">
      <w:pPr>
        <w:ind w:left="1" w:hanging="3"/>
        <w:rPr>
          <w:sz w:val="28"/>
          <w:szCs w:val="28"/>
        </w:rPr>
      </w:pPr>
    </w:p>
    <w:p w:rsidR="00AC6990" w:rsidRDefault="00AC6990">
      <w:pPr>
        <w:ind w:left="-1"/>
        <w:rPr>
          <w:sz w:val="28"/>
          <w:szCs w:val="28"/>
        </w:rPr>
      </w:pPr>
    </w:p>
    <w:p w:rsidR="00AC6990" w:rsidRDefault="00AC6990">
      <w:pPr>
        <w:ind w:left="1" w:hanging="3"/>
        <w:rPr>
          <w:sz w:val="28"/>
          <w:szCs w:val="28"/>
        </w:rPr>
      </w:pPr>
    </w:p>
    <w:p w:rsidR="00AC6990" w:rsidRDefault="00AC6990">
      <w:pPr>
        <w:rPr>
          <w:sz w:val="28"/>
          <w:szCs w:val="28"/>
        </w:rPr>
      </w:pPr>
    </w:p>
    <w:p w:rsidR="00AC6990" w:rsidRDefault="00AC6990">
      <w:pPr>
        <w:ind w:left="1" w:hanging="3"/>
        <w:rPr>
          <w:sz w:val="28"/>
          <w:szCs w:val="28"/>
        </w:rPr>
      </w:pPr>
    </w:p>
    <w:p w:rsidR="00AC6990" w:rsidRDefault="00AC6990">
      <w:pPr>
        <w:ind w:left="1" w:hanging="3"/>
        <w:rPr>
          <w:sz w:val="28"/>
          <w:szCs w:val="28"/>
        </w:rPr>
      </w:pPr>
    </w:p>
    <w:p w:rsidR="00AC6990" w:rsidRDefault="0093610E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Підготував:</w:t>
      </w:r>
    </w:p>
    <w:p w:rsidR="00AC6990" w:rsidRDefault="00AC6990">
      <w:pPr>
        <w:ind w:left="1" w:hanging="3"/>
        <w:jc w:val="both"/>
        <w:rPr>
          <w:sz w:val="28"/>
          <w:szCs w:val="28"/>
        </w:rPr>
      </w:pPr>
    </w:p>
    <w:p w:rsidR="00AC6990" w:rsidRDefault="0093610E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</w:t>
      </w:r>
    </w:p>
    <w:p w:rsidR="00AC6990" w:rsidRDefault="0093610E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соціального захисту населення                                                              О. ПАПОЯН</w:t>
      </w:r>
    </w:p>
    <w:p w:rsidR="00AC6990" w:rsidRDefault="00AC6990">
      <w:pPr>
        <w:ind w:left="1" w:hanging="3"/>
        <w:jc w:val="both"/>
        <w:rPr>
          <w:sz w:val="28"/>
          <w:szCs w:val="28"/>
        </w:rPr>
      </w:pPr>
    </w:p>
    <w:p w:rsidR="00AC6990" w:rsidRDefault="0093610E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:rsidR="00AC6990" w:rsidRDefault="00AC6990">
      <w:pPr>
        <w:ind w:left="-1"/>
        <w:jc w:val="both"/>
        <w:rPr>
          <w:sz w:val="28"/>
          <w:szCs w:val="28"/>
        </w:rPr>
      </w:pPr>
    </w:p>
    <w:p w:rsidR="00AC6990" w:rsidRDefault="00AC6990">
      <w:pPr>
        <w:ind w:left="1" w:hanging="3"/>
        <w:rPr>
          <w:sz w:val="28"/>
          <w:szCs w:val="28"/>
        </w:rPr>
      </w:pPr>
    </w:p>
    <w:p w:rsidR="00AC6990" w:rsidRDefault="0093610E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Заступник міського голови                                                                 Н. УЛЬЯНОВА</w:t>
      </w:r>
    </w:p>
    <w:p w:rsidR="00AC6990" w:rsidRDefault="00AC6990">
      <w:pPr>
        <w:ind w:left="-1"/>
        <w:rPr>
          <w:sz w:val="28"/>
          <w:szCs w:val="28"/>
        </w:rPr>
      </w:pPr>
    </w:p>
    <w:p w:rsidR="00AC6990" w:rsidRDefault="00AC6990">
      <w:pPr>
        <w:ind w:left="1" w:hanging="3"/>
        <w:rPr>
          <w:sz w:val="28"/>
          <w:szCs w:val="28"/>
        </w:rPr>
      </w:pPr>
    </w:p>
    <w:p w:rsidR="00AC6990" w:rsidRDefault="0093610E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В.о. начальника</w:t>
      </w:r>
      <w:r>
        <w:rPr>
          <w:sz w:val="28"/>
          <w:szCs w:val="28"/>
        </w:rPr>
        <w:t xml:space="preserve"> управління фінансів                                             Т. КОЛУНАЄВА</w:t>
      </w:r>
    </w:p>
    <w:p w:rsidR="00AC6990" w:rsidRDefault="00AC6990">
      <w:pPr>
        <w:ind w:left="-1"/>
        <w:rPr>
          <w:sz w:val="28"/>
          <w:szCs w:val="28"/>
        </w:rPr>
      </w:pPr>
    </w:p>
    <w:p w:rsidR="00AC6990" w:rsidRDefault="00AC6990">
      <w:pPr>
        <w:ind w:left="1" w:hanging="3"/>
        <w:rPr>
          <w:sz w:val="28"/>
          <w:szCs w:val="28"/>
        </w:rPr>
      </w:pPr>
    </w:p>
    <w:p w:rsidR="00AC6990" w:rsidRDefault="0093610E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Начальник юридичного відділу                                                    Л. МАРУЖЕНКО</w:t>
      </w:r>
    </w:p>
    <w:p w:rsidR="00AC6990" w:rsidRDefault="00AC6990">
      <w:pPr>
        <w:ind w:left="1" w:hanging="3"/>
        <w:rPr>
          <w:sz w:val="28"/>
          <w:szCs w:val="28"/>
        </w:rPr>
      </w:pPr>
    </w:p>
    <w:p w:rsidR="00AC6990" w:rsidRDefault="0093610E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Головний спеціаліст з питань запобігання</w:t>
      </w:r>
    </w:p>
    <w:p w:rsidR="00AC6990" w:rsidRDefault="0093610E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та виявлення корупції                                                                       О. НАРДЕКОВА</w:t>
      </w:r>
    </w:p>
    <w:p w:rsidR="00AC6990" w:rsidRDefault="00AC6990">
      <w:pPr>
        <w:ind w:left="1" w:hanging="3"/>
        <w:rPr>
          <w:sz w:val="28"/>
          <w:szCs w:val="28"/>
        </w:rPr>
      </w:pPr>
    </w:p>
    <w:p w:rsidR="00AC6990" w:rsidRDefault="00AC6990">
      <w:pPr>
        <w:ind w:left="1" w:hanging="3"/>
        <w:rPr>
          <w:sz w:val="28"/>
          <w:szCs w:val="28"/>
        </w:rPr>
      </w:pPr>
    </w:p>
    <w:p w:rsidR="00AC6990" w:rsidRDefault="00AC6990">
      <w:pPr>
        <w:ind w:left="1" w:hanging="3"/>
        <w:rPr>
          <w:sz w:val="28"/>
          <w:szCs w:val="28"/>
        </w:rPr>
      </w:pPr>
    </w:p>
    <w:p w:rsidR="00AC6990" w:rsidRDefault="00AC6990">
      <w:pPr>
        <w:ind w:left="1" w:hanging="3"/>
        <w:rPr>
          <w:color w:val="FFFFFF"/>
          <w:sz w:val="28"/>
          <w:szCs w:val="28"/>
        </w:rPr>
      </w:pPr>
    </w:p>
    <w:p w:rsidR="00AC6990" w:rsidRDefault="00AC6990">
      <w:pPr>
        <w:ind w:left="1" w:hanging="3"/>
        <w:rPr>
          <w:color w:val="FFFFFF"/>
          <w:sz w:val="28"/>
          <w:szCs w:val="28"/>
        </w:rPr>
        <w:sectPr w:rsidR="00AC6990">
          <w:pgSz w:w="11900" w:h="16838"/>
          <w:pgMar w:top="283" w:right="884" w:bottom="1440" w:left="1440" w:header="0" w:footer="0" w:gutter="0"/>
          <w:pgNumType w:start="1"/>
          <w:cols w:space="720"/>
        </w:sectPr>
      </w:pPr>
    </w:p>
    <w:p w:rsidR="00AC6990" w:rsidRDefault="0093610E">
      <w:pPr>
        <w:widowControl w:val="0"/>
        <w:ind w:firstLine="6237"/>
        <w:jc w:val="right"/>
        <w:rPr>
          <w:i/>
          <w:sz w:val="24"/>
          <w:szCs w:val="24"/>
        </w:rPr>
      </w:pPr>
      <w:bookmarkStart w:id="1" w:name="_heading=h.gjdgxs" w:colFirst="0" w:colLast="0"/>
      <w:bookmarkEnd w:id="1"/>
      <w:r>
        <w:rPr>
          <w:i/>
          <w:sz w:val="24"/>
          <w:szCs w:val="24"/>
        </w:rPr>
        <w:lastRenderedPageBreak/>
        <w:t>Додаток № 1</w:t>
      </w:r>
    </w:p>
    <w:p w:rsidR="00AC6990" w:rsidRDefault="0093610E">
      <w:pPr>
        <w:widowControl w:val="0"/>
        <w:ind w:firstLine="6237"/>
        <w:jc w:val="right"/>
        <w:rPr>
          <w:i/>
          <w:sz w:val="24"/>
          <w:szCs w:val="24"/>
        </w:rPr>
      </w:pPr>
      <w:bookmarkStart w:id="2" w:name="_heading=h.uumwyn17ahbc" w:colFirst="0" w:colLast="0"/>
      <w:bookmarkEnd w:id="2"/>
      <w:r>
        <w:rPr>
          <w:i/>
          <w:sz w:val="24"/>
          <w:szCs w:val="24"/>
        </w:rPr>
        <w:t xml:space="preserve">До Програми </w:t>
      </w:r>
    </w:p>
    <w:p w:rsidR="00AC6990" w:rsidRDefault="0093610E">
      <w:pPr>
        <w:widowControl w:val="0"/>
        <w:ind w:firstLine="6237"/>
        <w:jc w:val="right"/>
        <w:rPr>
          <w:i/>
          <w:sz w:val="24"/>
          <w:szCs w:val="24"/>
        </w:rPr>
      </w:pPr>
      <w:bookmarkStart w:id="3" w:name="_heading=h.894of8so3i0g" w:colFirst="0" w:colLast="0"/>
      <w:bookmarkEnd w:id="3"/>
      <w:r>
        <w:rPr>
          <w:i/>
          <w:sz w:val="24"/>
          <w:szCs w:val="24"/>
        </w:rPr>
        <w:t xml:space="preserve">«ЗАТВЕРДЖЕНО»                                                 </w:t>
      </w:r>
    </w:p>
    <w:p w:rsidR="00AC6990" w:rsidRDefault="0093610E">
      <w:pPr>
        <w:widowControl w:val="0"/>
        <w:ind w:left="5960" w:right="-19"/>
        <w:jc w:val="right"/>
        <w:rPr>
          <w:i/>
          <w:sz w:val="24"/>
          <w:szCs w:val="24"/>
        </w:rPr>
      </w:pPr>
      <w:bookmarkStart w:id="4" w:name="_heading=h.e2nldti0gd9u" w:colFirst="0" w:colLast="0"/>
      <w:bookmarkEnd w:id="4"/>
      <w:r>
        <w:rPr>
          <w:i/>
          <w:sz w:val="24"/>
          <w:szCs w:val="24"/>
        </w:rPr>
        <w:t>Рішенням чергової 46 сесії</w:t>
      </w:r>
    </w:p>
    <w:p w:rsidR="00AC6990" w:rsidRDefault="0093610E">
      <w:pPr>
        <w:widowControl w:val="0"/>
        <w:ind w:right="-19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Боярської міської ради VIII скликання</w:t>
      </w:r>
    </w:p>
    <w:p w:rsidR="00AC6990" w:rsidRDefault="0093610E">
      <w:pPr>
        <w:widowControl w:val="0"/>
        <w:ind w:right="-19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від 21 грудня 2023 року № 46/2613</w:t>
      </w:r>
    </w:p>
    <w:p w:rsidR="00AC6990" w:rsidRDefault="0093610E">
      <w:pPr>
        <w:widowControl w:val="0"/>
        <w:ind w:firstLine="6237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(зі змінами внесеними рішенням 53 сесії</w:t>
      </w:r>
    </w:p>
    <w:p w:rsidR="00AC6990" w:rsidRDefault="0093610E">
      <w:pPr>
        <w:widowControl w:val="0"/>
        <w:ind w:firstLine="6237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Боярської</w:t>
      </w:r>
      <w:r>
        <w:rPr>
          <w:i/>
          <w:sz w:val="24"/>
          <w:szCs w:val="24"/>
        </w:rPr>
        <w:t xml:space="preserve"> міської ради VIІI скликання                                                                      </w:t>
      </w:r>
    </w:p>
    <w:p w:rsidR="00AC6990" w:rsidRDefault="0093610E">
      <w:pPr>
        <w:widowControl w:val="0"/>
        <w:ind w:firstLine="6237"/>
        <w:jc w:val="right"/>
        <w:rPr>
          <w:b/>
          <w:sz w:val="28"/>
          <w:szCs w:val="28"/>
        </w:rPr>
      </w:pPr>
      <w:r>
        <w:rPr>
          <w:i/>
          <w:sz w:val="24"/>
          <w:szCs w:val="24"/>
        </w:rPr>
        <w:t xml:space="preserve">від 11.07.2024 року № </w:t>
      </w:r>
      <w:r>
        <w:rPr>
          <w:i/>
          <w:sz w:val="28"/>
          <w:szCs w:val="28"/>
        </w:rPr>
        <w:t>53/2994</w:t>
      </w:r>
      <w:r>
        <w:rPr>
          <w:i/>
          <w:sz w:val="24"/>
          <w:szCs w:val="24"/>
        </w:rPr>
        <w:t>)</w:t>
      </w:r>
    </w:p>
    <w:p w:rsidR="00AC6990" w:rsidRDefault="009361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Напрями діяльності та заходи Програми соціальної підтримки ветеранів війни та членів їх сімей,</w:t>
      </w:r>
    </w:p>
    <w:p w:rsidR="00AC6990" w:rsidRDefault="009361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членів сімей загиблих (померлих</w:t>
      </w:r>
      <w:r>
        <w:rPr>
          <w:b/>
          <w:sz w:val="28"/>
          <w:szCs w:val="28"/>
        </w:rPr>
        <w:t>) ветеранів війни, Захисників та Захисниць України</w:t>
      </w:r>
    </w:p>
    <w:p w:rsidR="00AC6990" w:rsidRDefault="009361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2024 рік</w:t>
      </w:r>
    </w:p>
    <w:tbl>
      <w:tblPr>
        <w:tblStyle w:val="afb"/>
        <w:tblpPr w:leftFromText="180" w:rightFromText="180" w:topFromText="180" w:bottomFromText="180" w:vertAnchor="text" w:tblpX="-140"/>
        <w:tblW w:w="144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3780"/>
        <w:gridCol w:w="2085"/>
        <w:gridCol w:w="1695"/>
        <w:gridCol w:w="2085"/>
        <w:gridCol w:w="2220"/>
      </w:tblGrid>
      <w:tr w:rsidR="00AC6990">
        <w:trPr>
          <w:trHeight w:val="1199"/>
        </w:trPr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AC6990" w:rsidRDefault="0093610E">
            <w:pPr>
              <w:ind w:left="140"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Найменування</w:t>
            </w:r>
            <w:r>
              <w:rPr>
                <w:b/>
                <w:sz w:val="24"/>
                <w:szCs w:val="24"/>
              </w:rPr>
              <w:br/>
              <w:t xml:space="preserve"> завдання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AC6990" w:rsidRDefault="0093610E">
            <w:pPr>
              <w:ind w:left="140"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Зміст заходів</w:t>
            </w:r>
          </w:p>
        </w:tc>
        <w:tc>
          <w:tcPr>
            <w:tcW w:w="2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AC6990" w:rsidRDefault="0093610E">
            <w:pPr>
              <w:ind w:left="140"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Відповідальні за виконання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AC6990" w:rsidRDefault="0093610E">
            <w:pPr>
              <w:ind w:left="140"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Строки виконання</w:t>
            </w:r>
          </w:p>
        </w:tc>
        <w:tc>
          <w:tcPr>
            <w:tcW w:w="2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AC6990" w:rsidRDefault="0093610E">
            <w:pPr>
              <w:ind w:left="140"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Орієнтовні обсяги фінансування,</w:t>
            </w:r>
            <w:r>
              <w:rPr>
                <w:b/>
                <w:sz w:val="24"/>
                <w:szCs w:val="24"/>
              </w:rPr>
              <w:br/>
              <w:t xml:space="preserve">   тис. грн</w:t>
            </w:r>
          </w:p>
        </w:tc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AC6990" w:rsidRDefault="0093610E">
            <w:pPr>
              <w:ind w:left="140"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Очікуваний результат</w:t>
            </w:r>
          </w:p>
        </w:tc>
      </w:tr>
      <w:tr w:rsidR="00AC6990">
        <w:trPr>
          <w:trHeight w:val="4205"/>
        </w:trPr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C6990" w:rsidRDefault="0093610E">
            <w:pPr>
              <w:spacing w:before="80"/>
              <w:ind w:left="140"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1.Забезпечення за рахунок коштів місцевого бюджету додаткових до встановлених законодавством гарантій щодо соціального захисту</w:t>
            </w: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AC6990" w:rsidRDefault="0093610E">
            <w:pPr>
              <w:ind w:left="140"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Виплата адресної одноразової грошової допомоги сім’ям осіб, які загинули (померли) під час активних бойових дій, смерть яких</w:t>
            </w:r>
            <w:r>
              <w:rPr>
                <w:sz w:val="24"/>
                <w:szCs w:val="24"/>
              </w:rPr>
              <w:t xml:space="preserve"> пов’язана із захистом Батьківщини (з 24.02.2024 рік)</w:t>
            </w:r>
          </w:p>
        </w:tc>
        <w:tc>
          <w:tcPr>
            <w:tcW w:w="2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AC6990" w:rsidRDefault="0093610E">
            <w:pPr>
              <w:ind w:left="140"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УСЗН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AC6990" w:rsidRDefault="0093610E">
            <w:pPr>
              <w:ind w:left="140"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рік</w:t>
            </w:r>
          </w:p>
        </w:tc>
        <w:tc>
          <w:tcPr>
            <w:tcW w:w="2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AC6990" w:rsidRDefault="0093610E">
            <w:pPr>
              <w:ind w:left="140"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1200,00</w:t>
            </w:r>
          </w:p>
        </w:tc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AC6990" w:rsidRDefault="0093610E">
            <w:pPr>
              <w:ind w:left="140" w:right="-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Забезпечено виплата  грошової допомоги на вирішення соціально-побутових питань за рішенням комісії з питань надання матеріальної допомоги </w:t>
            </w:r>
          </w:p>
          <w:p w:rsidR="00AC6990" w:rsidRDefault="0093610E">
            <w:pPr>
              <w:ind w:left="140"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мешканцям Боярської міської територіальної громади</w:t>
            </w:r>
          </w:p>
          <w:p w:rsidR="00AC6990" w:rsidRDefault="00AC6990">
            <w:pPr>
              <w:ind w:left="140" w:right="140"/>
              <w:jc w:val="center"/>
              <w:rPr>
                <w:b/>
                <w:sz w:val="24"/>
                <w:szCs w:val="24"/>
              </w:rPr>
            </w:pPr>
          </w:p>
        </w:tc>
      </w:tr>
      <w:tr w:rsidR="00AC6990">
        <w:trPr>
          <w:trHeight w:val="330"/>
        </w:trPr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C6990" w:rsidRDefault="00AC6990">
            <w:pPr>
              <w:spacing w:before="80"/>
              <w:ind w:left="140" w:right="40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AC6990" w:rsidRDefault="0093610E">
            <w:pPr>
              <w:ind w:left="140"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Разом</w:t>
            </w:r>
          </w:p>
        </w:tc>
        <w:tc>
          <w:tcPr>
            <w:tcW w:w="2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AC6990" w:rsidRDefault="00AC6990">
            <w:pPr>
              <w:ind w:left="140"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AC6990" w:rsidRDefault="00AC6990">
            <w:pPr>
              <w:ind w:left="140"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AC6990" w:rsidRDefault="0093610E">
            <w:pPr>
              <w:ind w:left="140"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3098,00</w:t>
            </w:r>
          </w:p>
        </w:tc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AC6990" w:rsidRDefault="00AC6990">
            <w:pPr>
              <w:ind w:left="140" w:right="-115"/>
              <w:rPr>
                <w:sz w:val="24"/>
                <w:szCs w:val="24"/>
              </w:rPr>
            </w:pPr>
          </w:p>
        </w:tc>
      </w:tr>
    </w:tbl>
    <w:p w:rsidR="00AC6990" w:rsidRDefault="00AC6990">
      <w:pPr>
        <w:ind w:left="-425"/>
        <w:jc w:val="center"/>
        <w:rPr>
          <w:b/>
          <w:sz w:val="28"/>
          <w:szCs w:val="28"/>
        </w:rPr>
      </w:pPr>
    </w:p>
    <w:p w:rsidR="00AC6990" w:rsidRDefault="0093610E">
      <w:pPr>
        <w:tabs>
          <w:tab w:val="left" w:pos="11624"/>
        </w:tabs>
      </w:pPr>
      <w:bookmarkStart w:id="5" w:name="_heading=h.axw5s2nhlt32" w:colFirst="0" w:colLast="0"/>
      <w:bookmarkEnd w:id="5"/>
      <w:r>
        <w:rPr>
          <w:b/>
          <w:sz w:val="28"/>
          <w:szCs w:val="28"/>
        </w:rPr>
        <w:t>Заступник міського голови                                                                                                             Наталія УЛЬЯНОВА</w:t>
      </w:r>
    </w:p>
    <w:sectPr w:rsidR="00AC6990">
      <w:pgSz w:w="16838" w:h="11900" w:orient="landscape"/>
      <w:pgMar w:top="425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990"/>
    <w:rsid w:val="0093610E"/>
    <w:rsid w:val="00AC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1E69B-465F-4921-9EE4-7A554CFB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a">
    <w:basedOn w:val="TableNormal3"/>
    <w:tblPr>
      <w:tblStyleRowBandSize w:val="1"/>
      <w:tblStyleColBandSize w:val="1"/>
    </w:tblPr>
  </w:style>
  <w:style w:type="paragraph" w:styleId="ab">
    <w:name w:val="header"/>
    <w:basedOn w:val="a"/>
    <w:link w:val="ac"/>
    <w:uiPriority w:val="99"/>
    <w:unhideWhenUsed/>
    <w:rsid w:val="007B186A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B186A"/>
  </w:style>
  <w:style w:type="paragraph" w:styleId="ad">
    <w:name w:val="footer"/>
    <w:basedOn w:val="a"/>
    <w:link w:val="ae"/>
    <w:uiPriority w:val="99"/>
    <w:unhideWhenUsed/>
    <w:rsid w:val="007B186A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B186A"/>
  </w:style>
  <w:style w:type="paragraph" w:styleId="af">
    <w:name w:val="List Paragraph"/>
    <w:basedOn w:val="a"/>
    <w:uiPriority w:val="34"/>
    <w:qFormat/>
    <w:rsid w:val="007B186A"/>
    <w:pPr>
      <w:ind w:left="720"/>
      <w:contextualSpacing/>
    </w:p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l8yTuihWZtsTtCdb7TooRjS2BA==">CgMxLjAyCGguZ2pkZ3hzMg5oLnV1bXd5bjE3YWhiYzIOaC44OTRvZjhzbzNpMGcyDmguZTJubGR0aTBnZDl1Mg5oLmF4dzVzMm5obHQzMjgAciExNUpsUnZSTkZhYVBjYV8wOGRLTl9HRjRTaGp5ZHFVaVk=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Marina_Rada</dc:creator>
  <cp:lastModifiedBy>Marina_Rada</cp:lastModifiedBy>
  <cp:revision>2</cp:revision>
  <dcterms:created xsi:type="dcterms:W3CDTF">2024-07-19T10:54:00Z</dcterms:created>
  <dcterms:modified xsi:type="dcterms:W3CDTF">2024-07-19T10:54:00Z</dcterms:modified>
</cp:coreProperties>
</file>