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2C3634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323215</wp:posOffset>
                </wp:positionV>
                <wp:extent cx="1752600" cy="15525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634" w:rsidRPr="002C3634" w:rsidRDefault="002C3634" w:rsidP="002C36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634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2C3634" w:rsidRPr="002C3634" w:rsidRDefault="002C3634" w:rsidP="002C36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C3634">
                              <w:rPr>
                                <w:rFonts w:ascii="Times New Roman" w:hAnsi="Times New Roman" w:cs="Times New Roman"/>
                              </w:rPr>
                              <w:t>01-03/18</w:t>
                            </w:r>
                            <w:r w:rsidRPr="002C363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</w:t>
                            </w:r>
                          </w:p>
                          <w:p w:rsidR="002C3634" w:rsidRPr="002C3634" w:rsidRDefault="002C3634" w:rsidP="002C36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634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2C363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</w:t>
                            </w:r>
                            <w:r w:rsidRPr="002C3634">
                              <w:rPr>
                                <w:rFonts w:ascii="Times New Roman" w:hAnsi="Times New Roman" w:cs="Times New Roman"/>
                              </w:rPr>
                              <w:t>.07.2024р</w:t>
                            </w:r>
                          </w:p>
                          <w:p w:rsidR="002C3634" w:rsidRPr="002C3634" w:rsidRDefault="002C3634" w:rsidP="002C36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2C363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Нове</w:t>
                            </w:r>
                            <w:proofErr w:type="spellEnd"/>
                            <w:r w:rsidRPr="002C363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2C363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надходження</w:t>
                            </w:r>
                            <w:proofErr w:type="spellEnd"/>
                          </w:p>
                          <w:p w:rsidR="002C3634" w:rsidRPr="002C3634" w:rsidRDefault="002C3634" w:rsidP="002C36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2C363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10.07.2024 р. </w:t>
                            </w:r>
                          </w:p>
                          <w:p w:rsidR="002C3634" w:rsidRDefault="002C3634" w:rsidP="002C3634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6.6pt;margin-top:25.45pt;width:138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qvigIAACcFAAAOAAAAZHJzL2Uyb0RvYy54bWysVM1uEzEQviPxDpbvdLNR00LUTRWlKkKq&#10;2ooW9ex47WSF12NsJ7vhhMQViUfgIbggfvoMmzdi7N1sq1JxQFy8np355vcbHx3XpSJrYV0BOqPp&#10;3oASoTnkhV5k9M316bPnlDjPdM4UaJHRjXD0ePL0yVFlxmIIS1C5sASdaDeuTEaX3ptxkji+FCVz&#10;e2CERqUEWzKPol0kuWUVei9VMhwMDpIKbG4scOEc/j1plXQS/UspuL+Q0glPVEYxNx9PG895OJPJ&#10;ERsvLDPLgndpsH/IomSFxqC9qxPmGVnZ4g9XZcEtOJB+j0OZgJQFF7EGrCYdPKjmasmMiLVgc5zp&#10;2+T+n1t+vr60pMhxdpRoVuKImi/bD9vPzc/mdvux+drcNj+2n5pfzbfmO0lDvyrjxgi7Mpe2kxxe&#10;Q/G1tGX4Ylmkjj3e9D0WtSccf6aHo+HBAEfBUZeORsPR4Sh4Te7gxjr/UkBJwiWjFocYe8vWZ863&#10;pjsTxIV02gTizW+UCDko/VpILAxDDiM6UkrMlCVrhmTI38ZiMGy0DBBZKNWD0sdAyu9AnW2AiUiz&#10;Hjh4DHgXrbeOEUH7HlgWGuzfwbK131Xd1hrK9vW87oYxh3yDI7XQct0ZflpgH8+Y85fMIrmx97iw&#10;/gIPqaDKKHQ3SpZg3z/2P9gj51BLSYXLklH3bsWsoES90sjGF+n+ftiuKOyPDoco2Pua+X2NXpUz&#10;wBEg4zC7eA32Xu2u0kJ5g3s9DVFRxTTH2Bnl3u6EmW+XGF8GLqbTaIYbZZg/01eGB+ehwYEn1/UN&#10;s6Yjk0censNusdj4Aada24DUMF15kEUkXGhx29eu9biNkbLdyxHW/b4cre7et8lvAAAA//8DAFBL&#10;AwQUAAYACAAAACEAi5vr7OAAAAAKAQAADwAAAGRycy9kb3ducmV2LnhtbEyPwU6DQBCG7ya+w2ZM&#10;vNmlaGtBhsaQGBM9Feuhty07BSI7S9gtBZ/e9aTHmfnyz/dn28l0YqTBtZYRlosIBHFldcs1wv7j&#10;5W4DwnnFWnWWCWEmB9v8+ipTqbYX3tFY+lqEEHapQmi871MpXdWQUW5he+JwO9nBKB/GoZZ6UJcQ&#10;bjoZR9FaGtVy+NConoqGqq/ybBDeZ+nH/ec6+R6LdtbloXh9owLx9mZ6fgLhafJ/MPzqB3XIg9PR&#10;nlk70SE8Lu/jgCKsogREAJJNEhZHhDhZPYDMM/m/Qv4DAAD//wMAUEsBAi0AFAAGAAgAAAAhALaD&#10;OJL+AAAA4QEAABMAAAAAAAAAAAAAAAAAAAAAAFtDb250ZW50X1R5cGVzXS54bWxQSwECLQAUAAYA&#10;CAAAACEAOP0h/9YAAACUAQAACwAAAAAAAAAAAAAAAAAvAQAAX3JlbHMvLnJlbHNQSwECLQAUAAYA&#10;CAAAACEA4Twar4oCAAAnBQAADgAAAAAAAAAAAAAAAAAuAgAAZHJzL2Uyb0RvYy54bWxQSwECLQAU&#10;AAYACAAAACEAi5vr7OAAAAAKAQAADwAAAAAAAAAAAAAAAADkBAAAZHJzL2Rvd25yZXYueG1sUEsF&#10;BgAAAAAEAAQA8wAAAPEFAAAAAA==&#10;" fillcolor="white [3201]" strokecolor="black [3200]" strokeweight="2pt">
                <v:textbox>
                  <w:txbxContent>
                    <w:p w:rsidR="002C3634" w:rsidRPr="002C3634" w:rsidRDefault="002C3634" w:rsidP="002C36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C3634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2C3634" w:rsidRPr="002C3634" w:rsidRDefault="002C3634" w:rsidP="002C36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C3634">
                        <w:rPr>
                          <w:rFonts w:ascii="Times New Roman" w:hAnsi="Times New Roman" w:cs="Times New Roman"/>
                        </w:rPr>
                        <w:t>01-03/18</w:t>
                      </w:r>
                      <w:r w:rsidRPr="002C3634">
                        <w:rPr>
                          <w:rFonts w:ascii="Times New Roman" w:hAnsi="Times New Roman" w:cs="Times New Roman"/>
                          <w:lang w:val="uk-UA"/>
                        </w:rPr>
                        <w:t>8</w:t>
                      </w:r>
                    </w:p>
                    <w:p w:rsidR="002C3634" w:rsidRPr="002C3634" w:rsidRDefault="002C3634" w:rsidP="002C36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C3634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2C3634">
                        <w:rPr>
                          <w:rFonts w:ascii="Times New Roman" w:hAnsi="Times New Roman" w:cs="Times New Roman"/>
                          <w:lang w:val="uk-UA"/>
                        </w:rPr>
                        <w:t>8</w:t>
                      </w:r>
                      <w:r w:rsidRPr="002C3634">
                        <w:rPr>
                          <w:rFonts w:ascii="Times New Roman" w:hAnsi="Times New Roman" w:cs="Times New Roman"/>
                        </w:rPr>
                        <w:t>.07.2024р</w:t>
                      </w:r>
                    </w:p>
                    <w:p w:rsidR="002C3634" w:rsidRPr="002C3634" w:rsidRDefault="002C3634" w:rsidP="002C36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2C3634">
                        <w:rPr>
                          <w:rFonts w:ascii="Times New Roman" w:hAnsi="Times New Roman" w:cs="Times New Roman"/>
                          <w:color w:val="FF0000"/>
                        </w:rPr>
                        <w:t>Нове</w:t>
                      </w:r>
                      <w:proofErr w:type="spellEnd"/>
                      <w:r w:rsidRPr="002C3634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2C3634">
                        <w:rPr>
                          <w:rFonts w:ascii="Times New Roman" w:hAnsi="Times New Roman" w:cs="Times New Roman"/>
                          <w:color w:val="FF0000"/>
                        </w:rPr>
                        <w:t>надходження</w:t>
                      </w:r>
                      <w:proofErr w:type="spellEnd"/>
                    </w:p>
                    <w:p w:rsidR="002C3634" w:rsidRPr="002C3634" w:rsidRDefault="002C3634" w:rsidP="002C36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2C3634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10.07.2024 р. </w:t>
                      </w:r>
                    </w:p>
                    <w:p w:rsidR="002C3634" w:rsidRDefault="002C3634" w:rsidP="002C3634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61202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Чергова 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>_____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>_____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>____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11 липня 2024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9719BC" w:rsidRPr="00B57363" w:rsidRDefault="00B321C7" w:rsidP="009719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Про </w:t>
      </w:r>
      <w:r w:rsidR="009719BC"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збільшення розміру статутного капіталу </w:t>
      </w:r>
    </w:p>
    <w:p w:rsidR="00B321C7" w:rsidRPr="00B57363" w:rsidRDefault="009719BC" w:rsidP="00B573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та внесення змін </w:t>
      </w:r>
      <w:r w:rsidR="00B14C0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до Статуту КП «Боярка-Водоканал</w:t>
      </w: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»</w:t>
      </w:r>
    </w:p>
    <w:p w:rsidR="008E5E4D" w:rsidRDefault="008E5E4D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Pr="00B57363" w:rsidRDefault="00FB010B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ст. 78 Господарського кодексу України, ст. 87 Цивільного кодексу України, відповідно до ст.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17,25,26 Закону України «Про місцеве самоврядування в Україні», статтею 17 Закону України «Про державну реєстрацію юридичних осіб, фізичних осіб-підприє</w:t>
      </w:r>
      <w:r w:rsidR="003D0B8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мців та громадських формувань»,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r w:rsidR="005908E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директора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комунального підприємства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«</w:t>
      </w:r>
      <w:r w:rsidR="005908E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Боярка-Водоканал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»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proofErr w:type="spellStart"/>
      <w:r w:rsidR="005908E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Михеєнка</w:t>
      </w:r>
      <w:proofErr w:type="spellEnd"/>
      <w:r w:rsidR="005908E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А.В.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(від </w:t>
      </w:r>
      <w:r w:rsidR="0082252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05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.0</w:t>
      </w:r>
      <w:r w:rsidR="008E5E4D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7.2024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 №</w:t>
      </w:r>
      <w:r w:rsidR="0082252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01-11</w:t>
      </w:r>
      <w:r w:rsidR="009E1D92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</w:t>
      </w:r>
      <w:r w:rsidR="0082252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108 та від 09.07.2024 № 01-11/110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), -  </w:t>
      </w:r>
    </w:p>
    <w:p w:rsidR="00B321C7" w:rsidRPr="00B57363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8E5E4D" w:rsidRPr="00B57363" w:rsidRDefault="008E5E4D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9A541A" w:rsidRPr="00B57363" w:rsidRDefault="00C453D2" w:rsidP="006665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1. </w:t>
      </w:r>
      <w:r w:rsidR="00666597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Збільшити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розмір статутного капіталу комунального підприємства «</w:t>
      </w:r>
      <w:r w:rsidR="00B14C0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Боярка-Водоканал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» Боярської міської ради на </w:t>
      </w:r>
      <w:r w:rsidR="00054687" w:rsidRPr="0005468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2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 </w:t>
      </w:r>
      <w:r w:rsidR="00054687" w:rsidRPr="0005468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808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 539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,00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 (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два мільйона вісімсот вісім тисяч п’ятсот тридцять дев’ять </w:t>
      </w:r>
      <w:r w:rsidR="00B14C0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гривень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C85B3D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00 коп.)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та визначити, що статутний к</w:t>
      </w:r>
      <w:r w:rsidR="0097368C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апітал підприємства становить 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44 502 337</w:t>
      </w:r>
      <w:r w:rsidR="00B14C0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,72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грн.</w:t>
      </w:r>
      <w:r w:rsidR="00995DD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5344A" w:rsidRPr="00B5736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(</w:t>
      </w:r>
      <w:r w:rsidR="00B14C0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сорок 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чотири</w:t>
      </w:r>
      <w:r w:rsidR="00B14C0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мільйона п’ятсот дві тисячі триста 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тридцять сім</w:t>
      </w:r>
      <w:r w:rsidR="00B14C0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гривень </w:t>
      </w:r>
      <w:r w:rsidR="000546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72</w:t>
      </w:r>
      <w:r w:rsidR="007F7E0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коп.).</w:t>
      </w:r>
    </w:p>
    <w:p w:rsidR="009A541A" w:rsidRPr="00B57363" w:rsidRDefault="0078094E" w:rsidP="00311BC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2.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Внести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відповідні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зміни до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Статуту комунального підприємства </w:t>
      </w:r>
      <w:r w:rsidR="00B14C03" w:rsidRP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«Боярка-Водоканал» Боярської міської ради</w:t>
      </w:r>
      <w:r w:rsidR="000C7462" w:rsidRP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,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затвердженого рішенням</w:t>
      </w:r>
      <w:r w:rsidR="00E5344A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чергової </w:t>
      </w:r>
      <w:r w:rsidR="008A6C51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6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сесії Боярської міської ради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0C746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від </w:t>
      </w:r>
      <w:r w:rsid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25.02.2021 року № 6/192 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та затвердити його у новій редакції (додається).</w:t>
      </w:r>
      <w:r w:rsidR="009634BF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 </w:t>
      </w:r>
    </w:p>
    <w:p w:rsidR="006524E9" w:rsidRPr="00B57363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3. </w:t>
      </w:r>
      <w:r w:rsid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Директору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к</w:t>
      </w:r>
      <w:r w:rsidR="00311BC2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омунального підприємства</w:t>
      </w:r>
      <w:r w:rsidR="006D3505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B14C03" w:rsidRP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«Боярка-Во</w:t>
      </w:r>
      <w:r w:rsidR="00B14C0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доканал» Боярської міської ради </w:t>
      </w:r>
      <w:r w:rsidR="00D07206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забезпечити реєстрацію змін до відомостей про КП </w:t>
      </w:r>
      <w:r w:rsidR="005908EB" w:rsidRPr="005908EB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«Боярка-Водоканал»</w:t>
      </w:r>
      <w:r w:rsidR="00D07206" w:rsidRPr="005908EB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,</w:t>
      </w:r>
      <w:r w:rsidR="005908EB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</w:t>
      </w:r>
      <w:r w:rsidR="00D07206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що містяться в Єдиному державному реєстрі юридичних осіб, фізичних осіб-підприємців та громадських формувань та Статуту в новій редакції, в порядку, установленому чинним законодавством України.</w:t>
      </w:r>
    </w:p>
    <w:p w:rsidR="00B321C7" w:rsidRDefault="00D07206" w:rsidP="00B5736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="00B321C7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B57363" w:rsidRPr="00B57363" w:rsidRDefault="00B57363" w:rsidP="00B5736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5908EB" w:rsidRDefault="005908EB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Default="005908E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Default="005908E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Default="005908E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E5344A" w:rsidRPr="00E5344A" w:rsidRDefault="00311BC2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чергової </w:t>
      </w:r>
      <w:r w:rsidR="007F7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="00380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44A"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VII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E5344A" w:rsidRPr="00E5344A" w:rsidRDefault="00E5344A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F7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11.07.2024</w:t>
      </w:r>
      <w:r w:rsidR="00162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7F7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  Т  А  Т  У  Т</w:t>
      </w: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Комунального підприємства</w:t>
      </w: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«Боярка-Водоканал» Боярської міської ради</w:t>
      </w: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ЄДРПОУ 30687118</w:t>
      </w: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(нова редакція)</w:t>
      </w: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м. Боярка</w:t>
      </w: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1. ЗАГАЛЬНІ ПОЛОЖЕННЯ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 Комунальне підприємство «Боярка-Водоканал» Боярської міської ради (далі – Підприємство) створено згідно рішення виконавчого комітету Боярської міської ради від 06.12.1999 року № 400</w:t>
      </w:r>
      <w:r w:rsidRPr="005908EB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 засновано на комунальній власності Боярської міської територіальної громади. У своїй діяльності Підприємство підпорядковується Боярській міській раді (далі - Засновник).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1.2. Підприємство є юридичною особою, володіє відокремленим майном, працює на принципах повного господарського розрахунку, має самостійний баланс, рахунки в установах банків, печатку, штампи і бланки, від свого імені укладає договори (угоди, контракти), набуває майнових та особистих немайнових прав і несе обов’язки, виступає позивачем і відповідачем в суді, арбітражному суді і третейському суді.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1.3. Підприємство має право укладати договори поставки, купівлі-продажу, </w:t>
      </w:r>
      <w:proofErr w:type="spellStart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підряду</w:t>
      </w:r>
      <w:proofErr w:type="spellEnd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страхування майна, перевезення, зберігання.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1.4. Підприємство має право відкривати розрахунковий, лімітований, поточний та інші рахунки в будь-яких установах банків на території України згідно з діючим законодавством.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1.5. Держава, її органи не несуть відповідальності за зобов’язаннями підприємства. Підприємство не відповідає за зобов’язаннями держави, її органів і інших підприємств, організацій, установ.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1.6. У випадках виникнення протиріч між положеннями цього Статуту та Законодавством України, а також в разі надання підприємству додаткових прав Законами України, Указами Президента, Постановами, актами у своїй діяльності підприємство керується у нормативними актами вищої юридичної сили без обов’язкового внесення змін і доповнень до Статуту.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1.7. Підприємство має право в установленому чинним законодавством порядку засновувати об’єднання та вступати в об’єднання з іншими суб’єктами господарської діяльності.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1.8.Повне найменування Підприємства: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Комунальне підприємство «Боярка-Водоканал» Боярської міської ради.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1.9. Скорочене найменування Підприємства: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КП «Боярка-Водоканал».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1.10. Юридична адреса Підприємства: Україна, 08150, Київська область, м. Боярка, вулиця </w:t>
      </w:r>
      <w:proofErr w:type="spellStart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19-б.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2. ЗАВДАННЯ І ФУНКЦІЇ ПІДПРИЄМСТВА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2.1. Основними завданнями підприємства є забезпечення споживачів послугами водопроводу і каналізації згідно з укладеними договорами.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 Для виконання основного завдання підприємство здійснює наступні функції: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проводить добуток води з підземних джерел і через водопровідні споруди та мережу водопроводів, забезпечує нею споживачів;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проводить планові та аварійні ремонти основних засобів;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- проводити монтаж водопровідних мереж, в тому числі їх підключення, перероблення, технічне обслуговування;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встановлює ліміти водоспоживання та скиду забруднюючих речовин до комунальної каналізації, за перевищення яких стягує плату по відповідному тарифу;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виступає замовником по капітальному ремонту та будівництву об’єктів водопостачання й водовідведення;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впроваджує заходи по раціональному використанню та обліку води, зменшенню її невиробничих витрат;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встановлювати засоби обліку води для населення;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розробляє проектну документацію на ремонт і реконструкцію діючих водопровідних і каналізаційних споруд, їх технологічного обладнання, очисних споруд;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залучає кошти державного та місцевих бюджетів, а також кошти підприємств (організацій) – </w:t>
      </w:r>
      <w:proofErr w:type="spellStart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водоспоживачів</w:t>
      </w:r>
      <w:proofErr w:type="spellEnd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незалежно від форм власності для здійснення природоохоронних заходів, для будівництва, реконструкції та модернізації систем водопостачання й водовідведення, на потреби соціального розвитку підприємства;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видає обов’язкові для виконання технічні умови підприємства (організаціям) та фізичним особам на будівництво та реконструкцію об’єктів водопостачання й водовідведення;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проводить на очисних спорудах очистку стічних вод: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1) що надходять через систему каналізаційних трубопроводів,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2) що транспортують асенізаційним транспортом.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розробляє перспективні плани розвитку водопровідно-каналізаційного господарства міста;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виконує лабораторні роботи по визнанню стічної, стічної промпідприємств, зворотної та поверхневої вод;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надає послуги по викачці вигрібних ям населенню асенізаційним транспортом підприємства;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надає послуги, послуги пов’язані з визначенням якості стічної, стічної промпідприємств, зворотної та поверхневої вод;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здійснює діяльність пов’язану зі зберіганням, перевезенням, придбанням, використанням, знищенням дозволених до застосування в Україні наркотичних засобів, психотропних речовин і прекурсорів в установленому законодавством порядку.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підприємство здійснює природоохоронні заходи, спрямовані на зниження і компенсацію негативного впливу його діяльність на природне середовище, здоров’я і власність людей.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3. МАЙНО ПІДПРИЄМСТВА</w:t>
      </w:r>
    </w:p>
    <w:p w:rsidR="005908EB" w:rsidRP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3.1. Майно підприємства становить основні та оборотні фонди, матеріальні активи та інші цінності, вартість яких відображається в самостійному балансі підприємства.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3.2. Майно, закріплене за підприємством, належить йому на правах повного господарського відання. Здійснюючи право повного господарського відання, підприємство користується та розпоряджається на свій розсуд </w:t>
      </w: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зазначеним майном, вчиняючи щодо нього будь-які дії, які не суперечать чинному законодавству.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3.3 Джерелами формування майна підприємства є: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доходи одержані від господарської та економічної діяльності;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амортизаційні відрахування;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доходи від цінних паперів;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кредити банків та інших кредиторів;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капітальні вкладання і дотації з бюджетів;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безоплатні або благодійні внески, пожертвування організацій, підприємств, громадян;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інші джерела незаборонені законодавчими актами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3.4. Підприємству може бути передана у власність або надана в користування, в тому числі на умовах оренди, земельна ділянка в порядку, встановленому земельним кодексом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3.5. Підприємство може приймати участь у земельних аукціонах по придбанню земельних ділянок у довгострокову оренду або власність, а також придбати земельні ділянки іншим чином, додержуючись вимог діючого законодавства.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3.6. Держава гарантує захист майнових прав підприємства. Вилучення державою у підприємства його основних фондів та оборотних коштів та іншого майна здійснюється тільки у випадках, передбачених законодавством України;</w:t>
      </w:r>
    </w:p>
    <w:p w:rsid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3.7. Статутний капітал Підприємства становить </w:t>
      </w:r>
      <w:r w:rsidR="00054687" w:rsidRPr="0005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44 502 337,72 грн. (сорок чотири мільйона п’ятсот дві тисячі триста тридцять сім гривень 72 коп.).</w:t>
      </w:r>
    </w:p>
    <w:p w:rsidR="00054687" w:rsidRPr="005908EB" w:rsidRDefault="00054687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4. УПРАВЛІННЯ ПІДПРИЄМСТВОМ ТА САМОВРЯДУВАННЯ ТРУДОВОГО КОЛЕКТИВУ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4.1.</w:t>
      </w:r>
      <w:r w:rsidRPr="005908EB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Боярського міського голови для керівництва Підприємством призначається директор.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4.2. Умови призначення визначаються контрактом відповідно до чинного законодавства України.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4.3. Головний інженер, головний бухгалтер і заступник директора призначаються та звільняються директором підприємства.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4.4. Директор організовує роботу підприємства в межах своєї компетенції і несе відповідальність за її наслідки, без доручення представляє підприємство в органах державної і місцевої влади, та інших підприємствах, суді, арбітражному і третейському суді у відповідності з діючим законодавством і даним Статутом: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здійснює володіння, користування і розпоряджається майном підприємства;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укладає договори (угоди, контракти);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затверджує тарифну угоду;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затверджує Положення про експлуатаційні дільниці та інші структурні підрозділи підприємства, Правила внутрішнього трудового розпорядку та посадові інструкції;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видає доручення (в </w:t>
      </w:r>
      <w:proofErr w:type="spellStart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з правом передоручення своїм заступникам);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відкриває в установах банків розрахункові та інші рахунки;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видає накази у відповідності з трудовим законодавством;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затверджує структуру і штатний розклад підприємства;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- приймає і звільняє з роботи працівників, в </w:t>
      </w:r>
      <w:proofErr w:type="spellStart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заступників керівників та спеціалістів підрозділів апарату управління та структурних підрозділів;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скасовує накази керівників виробничих підрозділів, або дає обов’язкові для виконання вказівки про зміну таких наказів, якщо вони суперечать діючому законодавству, даному Статуту та іншим нормативним актам.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 ході виробничої діяльності директор має право скорочувати окремі служби, підрозділи або створювати нові, виходячи з економічної ситуації та необхідності вирішення окремих завдань виробничої діяльності підприємства.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4.5. Директор підприємства має право видавати накази про грошові виплати та інші види матеріальної допомоги, компенсації і заохочення за рахунок прибутку, який залишається в розпорядженні підприємства, а також надавати позику робітникам підприємства за їх заявою, згідно діючого Положення.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4.6. Директор підприємства самостійно вирішує питання господарської, економічної та соціальної діяльності підприємства в межах своєї компетенції.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Власник майна має права втручатися в оперативну діяльність підприємства.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4.7. Компетенція  головного інженера, головного бухгалтера, заступників начальника, а також інших керівних працівників встановлюється директором підприємства.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4.8. Трудовий колектив підприємства становлять всі громадяни, які беруть участь в його діяльності на основі трудового договору (контракту, угоди), а також інших форм, що регулюють відносини працівника з підприємством.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4.9. Трудовий колектив має право: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розглядати і затверджувати проект колективного договору;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розглядати і вирішувати згідно з даним Статутом питання самоврядування трудового колективу;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вносити зміни і доповнення до даного Статуту;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визначати і затверджувати перелік і порядок надання працівникам підприємства соціальних пільг;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брати участь у розробці Положень по матеріальному і моральному стимулюванні продуктивної праці, заохочуючи винахідницьку і раціоналізаторську діяльність, порушувати питання про представлення працівників до державних нагород;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вирішувати інші питання згідно чинного законодавства;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4.10. Повноваження трудового колективу реалізуються конференцією трудового колективу та виборчим органом – профспілковим комітетом.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4.11. Між адміністрацією підприємства та трудовим колективом укладається щорічний колективний договір, який регулює виробничі, трудові і економічні відносини трудового колективу з адміністрацією підприємства, питання охорони праці, соціального розвитку.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Сторони, які уклали колективний договір, не менше одного разу на рік звітують про його виконання на конференції трудового колективу.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5. ГОСПОДАРСЬКА, ЕКОНОМІЧНА ТА СОЦІАЛЬНА ДІЯЛЬНІСТЬ ПІДПРИЄМСТВА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5.1. Підприємство сприяє впровадженню прогресивних форм і методів господарювання та організації праці, розвитку ринкових відносин, забезпечує разом з відповідними органами державної виконавчої влади дотримання вимог з охорони екологічної безпеки щодо водопостачання і водовідведення, здійснює контроль за будівництвом і реконструкцією діючих об’єктів ВКГ.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5.2. Підприємство самостійно планує свою діяльність і визначає перспективи розвитку, виходячи з попиту на свою продукцію послуги, роботи та необхідності забезпечення виробничого та соціального розвитку, підвищення доходів підприємства та добробуту його працівників.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Основу планів становлять договори, укладені із споживачами продукції і постачальниками матеріально – технічних ресурсів та товарів народного споживання.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5.3. Підприємство має право проводити будь – які операції, необхідні для виконання виробничих планів, здійснювати всі види підприємницької діяльності, за умов додержання діючого законодавства, а саме: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створювати самостійні або на договірних засадах з іншими суб’єктами підприємницької діяльності структури по виробництву матеріально – технічних ресурсів та товарів народного споживання, по наданню послуг населенню та підприємствам, організаціям, установам;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придбавати цінні папери інших підприємств, організацій, установ з метою отримання доходів;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здійснювати інші види підприємницької діяльності (торгівля, транспортні послуги, тощо).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5.4. Головним узагальнюючим показником фінансових результатів господарської та економічної діяльності підприємства є прибуток. Використання прибутку здійснюється згідно з кошторисами витрат фондів економічного стимулювання, затверджених рішенням конференції трудового колективу або за її дорученням адміністрацією і профспілковим комітетом.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5.5. Джерелом формування фінансових ресурсів підприємства є прибуток, амортизаційні відрахування, кошти одержані від продажу цінних паперів та інших надходжень.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Розрахунки підприємства за своїми зобов’язаннями проводяться у безготівковому та готівковому порядку через установи банків відповідно до правил здійснення розрахункових та касових операцій, затверджуваних Національним Банком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Підприємство несе повну відповідальність за дотримання податкового законодавства України, кредитних договорів і розрахункової дисципліни.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5.6. Підприємство самостійно визначає фонд оплати, якщо інше не передбачено чинним законодавством.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Трудові доходи працівників визначаються тарифною угодою, яка є невід’ємною частиною колективного договору, а також діючою на підприємстві системою преміювання та заохочення.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Оплата праці проводиться на основі тарифних сіток, ставок і окладів, що встановлюються підприємством самостійно.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Конкретні розміри тарифних ставок і окладів визначаються колективним договором в межах наявних коштів на оплату праці, але не нижче встановленого державою мінімального розміру заробітної плати.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5.7. Підприємство зобов’язане забезпечувати для всіх працюючих безпечні та нешкідливі умови праці і несе відповідальність у встановленому законом порядку за шкоду заподіяну їх здоров’ю та працездатності.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Підприємство надає відповідні пільги працюючим інвалідам, ветеранам війни і праці, ліквідаторам і постраждалим від Чорнобильської катастрофи, жінкам, випускникам </w:t>
      </w:r>
      <w:proofErr w:type="spellStart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технічних середньо-спеціальних та вищих учбових закладів та іншим категоріям працюючим відповідно до законодавства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5.8. Підприємство, за згодою Боярської міської ради, має право на добровільній основі вступати в об’єднання з іншими державними та приватними підприємствами (організаціями), на Україні, виступати засновником і бути учасником асоціації, концернів, комерційних банків, акціонерних товариств, тощо.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5.9. Підприємство згідно з предметом своєї діяльності має право провести перевірки всіх підприємств, установ, організацій незалежно від форм власності та видавати приписи, обов’язкові для виконання.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6. ПІДПРИЄМСТВО І ДЕРЖАВА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6.1. Держава гарантує додержання прав і законних інтересів підприємства, забезпечує рівні правові та економічні умови господарювання. Втручання в господарську та іншу діяльність підприємства з боку державних і громадських органів не допускається крім випадків передбачених законодавством.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Збитки (включаючи очікуваний і не одержаний прибуток), завдані підприємству в результаті виконання вказівок державних чи інших органів або службових осіб, які порушили права підприємства, підлягають відшкодування за їх рахунок.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6.2. Взаємовідносини підприємства з органами державного управління і місцевого самоврядування будуються відповідно до діючого законодавства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6.3. Підприємство при здійсненні господарської та іншої діяльності має право з власної ініціативи приймати будь-які рішення, що не суперечать законодавству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6.4. Підприємство здійснює оперативний та бухгалтерський облік результатів своєї роботи, веде статистичну звітність у встановленому чинним законодавством порядком. Відомості, не передбачені державною статистичною звітністю, підприємство може подавати на договірній основі.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Службові особи за перекручення державної звітності несуть встановлено законодавством відповідальність.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Підприємство має право вільного вибору аудитора для проведення аудиту та надання інших аудиторських послуг.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6.5. За порушення договірних зобов’язань, кредитно – розрахункової і податкової дисципліни та інших правил і норм здійснення господарської </w:t>
      </w: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діяльності підприємство несе відповідальність передбачену законодавством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6.6. Контроль за окремими сторонами діяльності підприємства здійснюють Державна податкова інспекція, державні органи, на які покладено нагляд за безпекою виробництва та праці, протипожежною та екологічною безпекою, а також інші органи відповідно до законодавства в межах її компетенції.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Підприємство має право не виконувати вимоги цих органів, якщо ці вимоги виходять за межі їх повноважень, а оскаржувати дії службових осіб, які здійснювали інспектування і перевірку.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ПРИПИНЕННЯ ДІЯЛЬНОСТІ ПІДПРИЄМСТВА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7.1. Підприємство припиняється в результаті реорганізації (злиття, приєднання, поділу, перетворення) або ліквідації за рішенням Засновника, а у випадках, передбачених законодавством України, - за рішенням суду.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При припиненні Підприємства, вивільненим працівникам гарантується додержання їхніх прав та інтересів відповідно до законодавства України.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7.3. Припинення Підприємства проводиться комісією з припинення, що призначається Засновником або органом, що прийняв рішення про припинення.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7.4. 3 моменту призначення комісії з припинення, до неї переходять усі повноваження по управлінню справами Підприємства.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7.5. Майно, що залишилось після розрахунків з кредиторами, використовується за рішенням Засновника. 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7.6. Підприємство є таким, що припинилося, з дня внесення до єдиного державного реєстру запису про його припинення.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ВНЕСЕННЯ ЗМІН ДО СТАТУТУ ПІДПРИЄМСТВА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8.1. Зміни до Статуту вносяться у порядку, визначеному законодавством України та підлягають державній реєстрації.</w:t>
      </w:r>
    </w:p>
    <w:p w:rsidR="005908EB" w:rsidRPr="005908EB" w:rsidRDefault="005908EB" w:rsidP="00590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  <w:lang w:eastAsia="ru-RU"/>
        </w:rPr>
      </w:pPr>
      <w:r w:rsidRPr="00E53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   </w:t>
      </w:r>
      <w:r w:rsidR="0031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Default="009E1D92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</w:t>
      </w: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міського голови                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Віталій МАЗУРЕЦЬ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</w:t>
      </w:r>
      <w:r w:rsidRPr="00A807D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юридичного відділу  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Леся МАРУЖЕНКО</w:t>
      </w: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1D92" w:rsidRPr="00A807DF" w:rsidRDefault="009E1D92" w:rsidP="009E1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E1D92" w:rsidRDefault="009E1D92" w:rsidP="009E1D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72F" w:rsidRDefault="0063272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72F" w:rsidRDefault="0063272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72F" w:rsidRDefault="0063272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54687"/>
    <w:rsid w:val="000732AD"/>
    <w:rsid w:val="000818C6"/>
    <w:rsid w:val="000863BA"/>
    <w:rsid w:val="000C7462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1B32"/>
    <w:rsid w:val="002879F9"/>
    <w:rsid w:val="002A4412"/>
    <w:rsid w:val="002B28B0"/>
    <w:rsid w:val="002C3634"/>
    <w:rsid w:val="00311BC2"/>
    <w:rsid w:val="00320D06"/>
    <w:rsid w:val="00327CE3"/>
    <w:rsid w:val="003323F2"/>
    <w:rsid w:val="00355D50"/>
    <w:rsid w:val="00380F29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6C8B"/>
    <w:rsid w:val="004D1822"/>
    <w:rsid w:val="004D5965"/>
    <w:rsid w:val="004D7494"/>
    <w:rsid w:val="004D7882"/>
    <w:rsid w:val="004E58A4"/>
    <w:rsid w:val="004E6AFC"/>
    <w:rsid w:val="005148B6"/>
    <w:rsid w:val="00552DB5"/>
    <w:rsid w:val="00560431"/>
    <w:rsid w:val="005908EB"/>
    <w:rsid w:val="00594210"/>
    <w:rsid w:val="005B6AE9"/>
    <w:rsid w:val="005C1ACA"/>
    <w:rsid w:val="005E223E"/>
    <w:rsid w:val="00605A55"/>
    <w:rsid w:val="0063272F"/>
    <w:rsid w:val="00644681"/>
    <w:rsid w:val="006524E9"/>
    <w:rsid w:val="0065587A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22523"/>
    <w:rsid w:val="00843C68"/>
    <w:rsid w:val="008662B9"/>
    <w:rsid w:val="00891C76"/>
    <w:rsid w:val="008A6C51"/>
    <w:rsid w:val="008B5E7D"/>
    <w:rsid w:val="008D730F"/>
    <w:rsid w:val="008E5E4D"/>
    <w:rsid w:val="008F4361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E1D92"/>
    <w:rsid w:val="00A10177"/>
    <w:rsid w:val="00A24F16"/>
    <w:rsid w:val="00A366BB"/>
    <w:rsid w:val="00A51651"/>
    <w:rsid w:val="00A52283"/>
    <w:rsid w:val="00AB6D65"/>
    <w:rsid w:val="00AE65B9"/>
    <w:rsid w:val="00B0489C"/>
    <w:rsid w:val="00B14C03"/>
    <w:rsid w:val="00B26F11"/>
    <w:rsid w:val="00B321C7"/>
    <w:rsid w:val="00B32293"/>
    <w:rsid w:val="00B57363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B1FB8"/>
    <w:rsid w:val="00DC6DB6"/>
    <w:rsid w:val="00DC7896"/>
    <w:rsid w:val="00E030B8"/>
    <w:rsid w:val="00E05549"/>
    <w:rsid w:val="00E5344A"/>
    <w:rsid w:val="00E539E1"/>
    <w:rsid w:val="00E61202"/>
    <w:rsid w:val="00E95681"/>
    <w:rsid w:val="00E97E46"/>
    <w:rsid w:val="00EB0E84"/>
    <w:rsid w:val="00EF7EFA"/>
    <w:rsid w:val="00F764E8"/>
    <w:rsid w:val="00FB010B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7C7A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350E-F61C-4FE1-A604-EC0CB3C8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3</cp:revision>
  <cp:lastPrinted>2024-07-10T06:55:00Z</cp:lastPrinted>
  <dcterms:created xsi:type="dcterms:W3CDTF">2024-07-10T10:25:00Z</dcterms:created>
  <dcterms:modified xsi:type="dcterms:W3CDTF">2024-07-10T10:39:00Z</dcterms:modified>
</cp:coreProperties>
</file>