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Default="001F461C">
      <w:pPr>
        <w:rPr>
          <w:lang w:val="ru-RU"/>
        </w:rPr>
      </w:pPr>
      <w:bookmarkStart w:id="0" w:name="_GoBack"/>
      <w:bookmarkEnd w:id="0"/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ru-RU" w:eastAsia="ru-RU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200E77">
        <w:rPr>
          <w:b/>
          <w:color w:val="000000"/>
          <w:sz w:val="28"/>
          <w:szCs w:val="28"/>
          <w:lang w:val="uk-UA" w:eastAsia="ru-RU"/>
        </w:rPr>
        <w:t>ергова 48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200E77" w:rsidRDefault="001F461C" w:rsidP="001F461C">
      <w:pPr>
        <w:jc w:val="center"/>
        <w:rPr>
          <w:rFonts w:eastAsia="Arial Unicode MS"/>
          <w:b/>
          <w:sz w:val="28"/>
          <w:szCs w:val="28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200E77">
        <w:rPr>
          <w:rFonts w:eastAsia="Arial Unicode MS"/>
          <w:b/>
          <w:sz w:val="28"/>
          <w:szCs w:val="28"/>
          <w:lang w:val="ru-RU"/>
        </w:rPr>
        <w:t>48</w:t>
      </w:r>
      <w:r w:rsidR="00DA5FE6">
        <w:rPr>
          <w:rFonts w:eastAsia="Arial Unicode MS"/>
          <w:b/>
          <w:sz w:val="28"/>
          <w:szCs w:val="28"/>
          <w:lang w:val="ru-RU"/>
        </w:rPr>
        <w:t>/</w:t>
      </w:r>
      <w:r w:rsidR="00200E77">
        <w:rPr>
          <w:rFonts w:eastAsia="Arial Unicode MS"/>
          <w:b/>
          <w:sz w:val="28"/>
          <w:szCs w:val="28"/>
        </w:rPr>
        <w:t>2702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200102">
        <w:rPr>
          <w:rFonts w:eastAsia="Arial Unicode MS"/>
          <w:b/>
          <w:sz w:val="28"/>
          <w:szCs w:val="28"/>
          <w:lang w:val="uk-UA"/>
        </w:rPr>
        <w:t>01 лютого 2024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200E77" w:rsidRPr="00200E77" w:rsidRDefault="00200E77" w:rsidP="00200E77">
      <w:pPr>
        <w:ind w:left="4820" w:hanging="4820"/>
        <w:rPr>
          <w:b/>
          <w:sz w:val="28"/>
          <w:szCs w:val="28"/>
          <w:lang w:val="uk-UA"/>
        </w:rPr>
      </w:pPr>
      <w:r w:rsidRPr="00200E77">
        <w:rPr>
          <w:b/>
          <w:sz w:val="28"/>
          <w:szCs w:val="28"/>
          <w:lang w:val="uk-UA"/>
        </w:rPr>
        <w:t xml:space="preserve">Згідно з оригіналом: </w:t>
      </w:r>
    </w:p>
    <w:p w:rsidR="00200E77" w:rsidRPr="00200E77" w:rsidRDefault="00200E77" w:rsidP="00200E77">
      <w:pPr>
        <w:ind w:left="4820" w:hanging="4820"/>
        <w:rPr>
          <w:b/>
          <w:sz w:val="28"/>
          <w:szCs w:val="28"/>
          <w:lang w:val="uk-UA"/>
        </w:rPr>
      </w:pPr>
      <w:r w:rsidRPr="00200E77">
        <w:rPr>
          <w:b/>
          <w:sz w:val="28"/>
          <w:szCs w:val="28"/>
          <w:lang w:val="uk-UA"/>
        </w:rPr>
        <w:t xml:space="preserve">Секретар ради                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200E77">
        <w:rPr>
          <w:b/>
          <w:sz w:val="28"/>
          <w:szCs w:val="28"/>
          <w:lang w:val="uk-UA"/>
        </w:rPr>
        <w:t>Олексій ПЕРФІЛОВ</w:t>
      </w:r>
    </w:p>
    <w:p w:rsidR="00200E77" w:rsidRPr="00200E77" w:rsidRDefault="00200E77" w:rsidP="00200E77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200E77" w:rsidRPr="00200E77" w:rsidRDefault="00200E77" w:rsidP="00200E77">
      <w:pPr>
        <w:widowControl/>
        <w:autoSpaceDE/>
        <w:autoSpaceDN/>
        <w:ind w:left="5670"/>
        <w:rPr>
          <w:rFonts w:eastAsia="Calibri"/>
          <w:b/>
          <w:sz w:val="28"/>
          <w:szCs w:val="28"/>
          <w:lang w:val="uk-UA"/>
        </w:rPr>
      </w:pPr>
    </w:p>
    <w:p w:rsidR="00200E77" w:rsidRPr="00200E77" w:rsidRDefault="00200E77" w:rsidP="00200E77">
      <w:pPr>
        <w:widowControl/>
        <w:autoSpaceDE/>
        <w:autoSpaceDN/>
        <w:ind w:left="5670"/>
        <w:rPr>
          <w:rFonts w:eastAsia="Calibri"/>
          <w:b/>
          <w:sz w:val="28"/>
          <w:szCs w:val="28"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00E77" w:rsidRPr="00200E77" w:rsidRDefault="00200E77" w:rsidP="00200E77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proofErr w:type="spellStart"/>
      <w:r w:rsidRPr="00200E77">
        <w:rPr>
          <w:snapToGrid w:val="0"/>
          <w:position w:val="-1"/>
          <w:sz w:val="28"/>
          <w:szCs w:val="28"/>
          <w:lang w:val="uk-UA" w:eastAsia="ru-RU"/>
        </w:rPr>
        <w:t>В.о.начальника</w:t>
      </w:r>
      <w:proofErr w:type="spellEnd"/>
      <w:r w:rsidRPr="00200E77">
        <w:rPr>
          <w:snapToGrid w:val="0"/>
          <w:position w:val="-1"/>
          <w:sz w:val="28"/>
          <w:szCs w:val="28"/>
          <w:lang w:val="uk-UA" w:eastAsia="ru-RU"/>
        </w:rPr>
        <w:t xml:space="preserve"> управління фінансів                                    Тетяна КОЛУНАЄВА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200102" w:rsidRDefault="00200102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черг</w:t>
      </w:r>
      <w:r w:rsidR="00981FAC">
        <w:rPr>
          <w:lang w:val="uk-UA"/>
        </w:rPr>
        <w:t>о</w:t>
      </w:r>
      <w:r w:rsidR="009D74E7" w:rsidRPr="00981FAC">
        <w:rPr>
          <w:lang w:val="uk-UA"/>
        </w:rPr>
        <w:t>во</w:t>
      </w:r>
      <w:r w:rsidR="009D74E7" w:rsidRPr="009D74E7">
        <w:rPr>
          <w:lang w:val="uk-UA"/>
        </w:rPr>
        <w:t>ї</w:t>
      </w:r>
      <w:r w:rsidR="009D74E7" w:rsidRPr="00981FAC">
        <w:rPr>
          <w:lang w:val="uk-UA"/>
        </w:rPr>
        <w:t xml:space="preserve"> </w:t>
      </w:r>
      <w:r w:rsidR="00200E77">
        <w:rPr>
          <w:lang w:val="uk-UA"/>
        </w:rPr>
        <w:t>48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404273" w:rsidRDefault="005215A2" w:rsidP="00CC7527">
      <w:pPr>
        <w:pStyle w:val="a3"/>
        <w:ind w:left="4253" w:right="427"/>
        <w:rPr>
          <w:lang w:val="uk-UA"/>
        </w:rPr>
      </w:pPr>
      <w:r w:rsidRPr="00981FAC">
        <w:rPr>
          <w:lang w:val="uk-UA"/>
        </w:rPr>
        <w:t xml:space="preserve">від </w:t>
      </w:r>
      <w:r w:rsidR="00200102">
        <w:rPr>
          <w:lang w:val="uk-UA"/>
        </w:rPr>
        <w:t>01.02.2024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200E77">
        <w:rPr>
          <w:lang w:val="uk-UA"/>
        </w:rPr>
        <w:t>48/2702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200102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 xml:space="preserve">м. Боярка </w:t>
      </w:r>
      <w:r w:rsidR="00DF40D4">
        <w:rPr>
          <w:lang w:val="uk-UA"/>
        </w:rPr>
        <w:t>–</w:t>
      </w:r>
      <w:r>
        <w:rPr>
          <w:lang w:val="uk-UA"/>
        </w:rPr>
        <w:t xml:space="preserve"> 2024</w:t>
      </w:r>
    </w:p>
    <w:p w:rsidR="00DF40D4" w:rsidRDefault="00DF40D4" w:rsidP="003F074E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200E77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200E77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200E77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200E77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200E77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200E77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200102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1 235,0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753F4D">
              <w:rPr>
                <w:sz w:val="28"/>
                <w:szCs w:val="28"/>
                <w:lang w:val="uk-UA"/>
              </w:rPr>
              <w:t>, 2023-2024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200102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2 590,0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lastRenderedPageBreak/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столів, тематичних програмах і проектів), залучення інших заінтересованих </w:t>
      </w:r>
      <w:r w:rsidR="00EF005A" w:rsidRPr="00191D97">
        <w:rPr>
          <w:sz w:val="28"/>
          <w:szCs w:val="20"/>
          <w:lang w:val="uk-UA" w:eastAsia="ru-RU"/>
        </w:rPr>
        <w:lastRenderedPageBreak/>
        <w:t>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Фінансування заходів передбачених Програмою може здійснюватися 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lastRenderedPageBreak/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6C2DAE" w:rsidRPr="004D74E3" w:rsidRDefault="00884407" w:rsidP="00C83D23">
      <w:pPr>
        <w:pStyle w:val="a3"/>
        <w:jc w:val="right"/>
        <w:rPr>
          <w:i/>
          <w:lang w:val="ru-RU"/>
        </w:rPr>
      </w:pPr>
      <w:proofErr w:type="spellStart"/>
      <w:r w:rsidRPr="004D74E3">
        <w:rPr>
          <w:i/>
          <w:lang w:val="ru-RU"/>
        </w:rPr>
        <w:lastRenderedPageBreak/>
        <w:t>Додаток</w:t>
      </w:r>
      <w:proofErr w:type="spellEnd"/>
      <w:r w:rsidR="00B8627D">
        <w:rPr>
          <w:i/>
          <w:lang w:val="ru-RU"/>
        </w:rPr>
        <w:t xml:space="preserve"> до </w:t>
      </w:r>
      <w:proofErr w:type="spellStart"/>
      <w:r w:rsidR="00B8627D">
        <w:rPr>
          <w:i/>
          <w:lang w:val="ru-RU"/>
        </w:rPr>
        <w:t>Програми</w:t>
      </w:r>
      <w:proofErr w:type="spellEnd"/>
      <w:r w:rsidRPr="004D74E3">
        <w:rPr>
          <w:i/>
          <w:lang w:val="ru-RU"/>
        </w:rPr>
        <w:t xml:space="preserve"> </w:t>
      </w:r>
    </w:p>
    <w:p w:rsidR="006C2DAE" w:rsidRPr="004D74E3" w:rsidRDefault="006C2DAE">
      <w:pPr>
        <w:pStyle w:val="a3"/>
        <w:spacing w:before="3"/>
        <w:rPr>
          <w:b/>
          <w:lang w:val="ru-RU"/>
        </w:rPr>
      </w:pPr>
    </w:p>
    <w:p w:rsidR="00884407" w:rsidRPr="004D74E3" w:rsidRDefault="00884407">
      <w:pPr>
        <w:pStyle w:val="a3"/>
        <w:spacing w:before="3"/>
        <w:rPr>
          <w:b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6C2DAE" w:rsidRPr="004D74E3" w:rsidRDefault="006C2DAE" w:rsidP="00576DE4">
      <w:pPr>
        <w:pStyle w:val="a3"/>
        <w:ind w:right="34"/>
        <w:rPr>
          <w:i/>
          <w:lang w:val="uk-UA"/>
        </w:rPr>
      </w:pP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 xml:space="preserve">, 15,5 дизель (95 </w:t>
            </w:r>
            <w:proofErr w:type="spellStart"/>
            <w:r w:rsidRPr="00FB30CB">
              <w:rPr>
                <w:lang w:val="uk-UA"/>
              </w:rPr>
              <w:t>к.с</w:t>
            </w:r>
            <w:proofErr w:type="spellEnd"/>
            <w:r w:rsidRPr="00FB30CB">
              <w:rPr>
                <w:lang w:val="uk-UA"/>
              </w:rPr>
              <w:t>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поточного ремонту службового автомобіля марки «Рено Докер», білого кольору </w:t>
            </w:r>
            <w:proofErr w:type="spellStart"/>
            <w:r>
              <w:rPr>
                <w:lang w:val="uk-UA"/>
              </w:rPr>
              <w:t>д.н.з</w:t>
            </w:r>
            <w:proofErr w:type="spellEnd"/>
            <w:r>
              <w:rPr>
                <w:lang w:val="uk-UA"/>
              </w:rPr>
              <w:t>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222791" w:rsidRPr="00222791" w:rsidTr="00754CE4">
        <w:trPr>
          <w:trHeight w:val="220"/>
        </w:trPr>
        <w:tc>
          <w:tcPr>
            <w:tcW w:w="7126" w:type="dxa"/>
          </w:tcPr>
          <w:p w:rsidR="00222791" w:rsidRDefault="00222791" w:rsidP="00222791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паливно-мастильних матеріалів</w:t>
            </w:r>
            <w:r w:rsidR="005A2384" w:rsidRPr="005A2384">
              <w:rPr>
                <w:lang w:val="ru-RU"/>
              </w:rPr>
              <w:t xml:space="preserve"> </w:t>
            </w:r>
            <w:r w:rsidR="005A2384">
              <w:rPr>
                <w:lang w:val="uk-UA"/>
              </w:rPr>
              <w:t xml:space="preserve">ВП </w:t>
            </w:r>
            <w:r w:rsidR="005A2384" w:rsidRPr="005A2384">
              <w:rPr>
                <w:lang w:val="uk-UA"/>
              </w:rPr>
              <w:t>№1 Фастівського РУП ГУНП в Київській області</w:t>
            </w:r>
            <w:r w:rsidR="005A2384"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2791" w:rsidRDefault="0022279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500,0</w:t>
            </w:r>
          </w:p>
        </w:tc>
      </w:tr>
      <w:tr w:rsidR="00222791" w:rsidRPr="00222791" w:rsidTr="00754CE4">
        <w:trPr>
          <w:trHeight w:val="220"/>
        </w:trPr>
        <w:tc>
          <w:tcPr>
            <w:tcW w:w="7126" w:type="dxa"/>
          </w:tcPr>
          <w:p w:rsidR="00222791" w:rsidRDefault="00222791" w:rsidP="00222791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автомобіля</w:t>
            </w:r>
            <w:r w:rsidR="005A2384">
              <w:rPr>
                <w:lang w:val="uk-UA"/>
              </w:rPr>
              <w:t xml:space="preserve"> </w:t>
            </w:r>
            <w:r w:rsidR="005A2384" w:rsidRPr="005A2384">
              <w:rPr>
                <w:lang w:val="uk-UA"/>
              </w:rPr>
              <w:t>ВП №1 Фастівського РУП ГУНП в Київській області</w:t>
            </w:r>
            <w:r w:rsidR="005A2384"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22791" w:rsidRDefault="0022279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Default="00200102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1 235,0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4D74E3" w:rsidRDefault="005F66C5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 w:rsidR="00753F4D"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5F66C5" w:rsidRPr="00A6781E" w:rsidRDefault="00200102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2 590,0</w:t>
            </w:r>
          </w:p>
        </w:tc>
      </w:tr>
    </w:tbl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200102" w:rsidRDefault="00200102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lastRenderedPageBreak/>
        <w:t>ПОЯСНЮВАЛЬНА ЗАПИСКА</w:t>
      </w:r>
    </w:p>
    <w:p w:rsidR="006F11DF" w:rsidRPr="006F11DF" w:rsidRDefault="006F11DF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4B79AA" w:rsidRDefault="006F11DF" w:rsidP="004B79AA">
      <w:pPr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</w:t>
      </w:r>
      <w:r w:rsidR="002762F4">
        <w:rPr>
          <w:rFonts w:eastAsia="Calibri"/>
          <w:sz w:val="28"/>
          <w:szCs w:val="28"/>
          <w:lang w:val="uk-UA" w:eastAsia="uk-UA"/>
        </w:rPr>
        <w:t xml:space="preserve"> у зв’язку із змінами, що вносяться до </w:t>
      </w:r>
      <w:r w:rsidR="004B79AA">
        <w:rPr>
          <w:rFonts w:eastAsia="Calibri"/>
          <w:sz w:val="28"/>
          <w:szCs w:val="28"/>
          <w:lang w:val="uk-UA" w:eastAsia="uk-UA"/>
        </w:rPr>
        <w:t>даної Програми.</w:t>
      </w:r>
      <w:r w:rsidR="00915AA8">
        <w:rPr>
          <w:rFonts w:eastAsia="Calibri"/>
          <w:sz w:val="28"/>
          <w:szCs w:val="28"/>
          <w:lang w:val="uk-UA" w:eastAsia="uk-UA"/>
        </w:rPr>
        <w:t xml:space="preserve"> </w:t>
      </w:r>
      <w:r w:rsidR="004B79AA">
        <w:rPr>
          <w:rFonts w:eastAsia="Calibri"/>
          <w:sz w:val="28"/>
          <w:szCs w:val="28"/>
          <w:lang w:val="uk-UA" w:eastAsia="uk-UA"/>
        </w:rPr>
        <w:t>Зокрема,</w:t>
      </w:r>
      <w:r w:rsidR="00043006">
        <w:rPr>
          <w:rFonts w:eastAsia="Calibri"/>
          <w:sz w:val="28"/>
          <w:szCs w:val="28"/>
          <w:lang w:val="uk-UA" w:eastAsia="uk-UA"/>
        </w:rPr>
        <w:t xml:space="preserve"> заходи, </w:t>
      </w:r>
      <w:r w:rsidR="00915AA8">
        <w:rPr>
          <w:rFonts w:eastAsia="Calibri"/>
          <w:sz w:val="28"/>
          <w:szCs w:val="28"/>
          <w:lang w:val="uk-UA" w:eastAsia="uk-UA"/>
        </w:rPr>
        <w:t>що були заплановані на 2024 рік</w:t>
      </w:r>
      <w:r w:rsidR="004B79AA">
        <w:rPr>
          <w:rFonts w:eastAsia="Calibri"/>
          <w:sz w:val="28"/>
          <w:szCs w:val="28"/>
          <w:lang w:val="uk-UA" w:eastAsia="uk-UA"/>
        </w:rPr>
        <w:t xml:space="preserve">, пропонується </w:t>
      </w:r>
      <w:proofErr w:type="spellStart"/>
      <w:r w:rsidR="004B79AA">
        <w:rPr>
          <w:rFonts w:eastAsia="Calibri"/>
          <w:sz w:val="28"/>
          <w:szCs w:val="28"/>
          <w:lang w:val="uk-UA" w:eastAsia="uk-UA"/>
        </w:rPr>
        <w:t>перенаправити</w:t>
      </w:r>
      <w:proofErr w:type="spellEnd"/>
      <w:r w:rsidR="004B79AA">
        <w:rPr>
          <w:rFonts w:eastAsia="Calibri"/>
          <w:sz w:val="28"/>
          <w:szCs w:val="28"/>
          <w:lang w:val="uk-UA" w:eastAsia="uk-UA"/>
        </w:rPr>
        <w:t xml:space="preserve"> на Комплексну програму</w:t>
      </w:r>
      <w:r w:rsidR="004B79AA" w:rsidRPr="004B79AA">
        <w:rPr>
          <w:rFonts w:eastAsia="Calibri"/>
          <w:sz w:val="28"/>
          <w:szCs w:val="28"/>
          <w:lang w:val="uk-UA" w:eastAsia="uk-UA"/>
        </w:rPr>
        <w:t xml:space="preserve"> профілактики правопорушень на території Боярської міської територіальної громади на 2022 - 2025 роки</w:t>
      </w:r>
      <w:r w:rsidR="004B79AA">
        <w:rPr>
          <w:rFonts w:eastAsia="Calibri"/>
          <w:sz w:val="28"/>
          <w:szCs w:val="28"/>
          <w:lang w:val="uk-UA" w:eastAsia="uk-UA"/>
        </w:rPr>
        <w:t>, а саме:</w:t>
      </w:r>
    </w:p>
    <w:p w:rsidR="006F11DF" w:rsidRDefault="00915AA8" w:rsidP="002762F4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 xml:space="preserve">Поточний ремонт адміністративного приміщення ВП №1 Фастівського РУП ГУНП в Київській області, що розташоване, за </w:t>
      </w:r>
      <w:proofErr w:type="spellStart"/>
      <w:r w:rsidRPr="00915AA8">
        <w:rPr>
          <w:rFonts w:eastAsia="Calibri"/>
          <w:sz w:val="28"/>
          <w:szCs w:val="28"/>
          <w:lang w:val="uk-UA" w:eastAsia="uk-UA"/>
        </w:rPr>
        <w:t>адресою</w:t>
      </w:r>
      <w:proofErr w:type="spellEnd"/>
      <w:r w:rsidRPr="00915AA8">
        <w:rPr>
          <w:rFonts w:eastAsia="Calibri"/>
          <w:sz w:val="28"/>
          <w:szCs w:val="28"/>
          <w:lang w:val="uk-UA" w:eastAsia="uk-UA"/>
        </w:rPr>
        <w:t>: м. Боярка, вул. Грушевського, 22</w:t>
      </w:r>
      <w:r>
        <w:rPr>
          <w:rFonts w:eastAsia="Calibri"/>
          <w:sz w:val="28"/>
          <w:szCs w:val="28"/>
          <w:lang w:val="uk-UA" w:eastAsia="uk-UA"/>
        </w:rPr>
        <w:t>;</w:t>
      </w:r>
    </w:p>
    <w:p w:rsidR="00915AA8" w:rsidRDefault="00915AA8" w:rsidP="002762F4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 xml:space="preserve">Поточний ремонт адміністративного приміщення ВП №1 Фастівського РУП ГУНП в Київській області, що розташоване, за </w:t>
      </w:r>
      <w:proofErr w:type="spellStart"/>
      <w:r w:rsidRPr="00915AA8">
        <w:rPr>
          <w:rFonts w:eastAsia="Calibri"/>
          <w:sz w:val="28"/>
          <w:szCs w:val="28"/>
          <w:lang w:val="uk-UA" w:eastAsia="uk-UA"/>
        </w:rPr>
        <w:t>адресою</w:t>
      </w:r>
      <w:proofErr w:type="spellEnd"/>
      <w:r w:rsidRPr="00915AA8">
        <w:rPr>
          <w:rFonts w:eastAsia="Calibri"/>
          <w:sz w:val="28"/>
          <w:szCs w:val="28"/>
          <w:lang w:val="uk-UA" w:eastAsia="uk-UA"/>
        </w:rPr>
        <w:t xml:space="preserve">: м. Боярка, вул. </w:t>
      </w:r>
      <w:proofErr w:type="spellStart"/>
      <w:r w:rsidRPr="00915AA8">
        <w:rPr>
          <w:rFonts w:eastAsia="Calibri"/>
          <w:sz w:val="28"/>
          <w:szCs w:val="28"/>
          <w:lang w:val="uk-UA" w:eastAsia="uk-UA"/>
        </w:rPr>
        <w:t>Білогородська</w:t>
      </w:r>
      <w:proofErr w:type="spellEnd"/>
      <w:r w:rsidRPr="00915AA8">
        <w:rPr>
          <w:rFonts w:eastAsia="Calibri"/>
          <w:sz w:val="28"/>
          <w:szCs w:val="28"/>
          <w:lang w:val="uk-UA" w:eastAsia="uk-UA"/>
        </w:rPr>
        <w:t>, 13</w:t>
      </w:r>
      <w:r>
        <w:rPr>
          <w:rFonts w:eastAsia="Calibri"/>
          <w:sz w:val="28"/>
          <w:szCs w:val="28"/>
          <w:lang w:val="uk-UA" w:eastAsia="uk-UA"/>
        </w:rPr>
        <w:t>;</w:t>
      </w:r>
    </w:p>
    <w:p w:rsidR="00915AA8" w:rsidRDefault="00915AA8" w:rsidP="004B79AA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- </w:t>
      </w:r>
      <w:r w:rsidRPr="00915AA8">
        <w:rPr>
          <w:rFonts w:eastAsia="Calibri"/>
          <w:sz w:val="28"/>
          <w:szCs w:val="28"/>
          <w:lang w:val="uk-UA" w:eastAsia="uk-UA"/>
        </w:rPr>
        <w:t>Придбання оргтехніки та канцелярського приладдя ВП №1 Фастівського РУП ГУНП в Київській області</w:t>
      </w:r>
      <w:r w:rsidR="004B79AA">
        <w:rPr>
          <w:rFonts w:eastAsia="Calibri"/>
          <w:sz w:val="28"/>
          <w:szCs w:val="28"/>
          <w:lang w:val="uk-UA" w:eastAsia="uk-UA"/>
        </w:rPr>
        <w:t>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sectPr w:rsidR="00265C3F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3006"/>
    <w:rsid w:val="00046164"/>
    <w:rsid w:val="00047E4C"/>
    <w:rsid w:val="00061524"/>
    <w:rsid w:val="000C4589"/>
    <w:rsid w:val="000E3C5A"/>
    <w:rsid w:val="001241AD"/>
    <w:rsid w:val="00173CB8"/>
    <w:rsid w:val="00191D97"/>
    <w:rsid w:val="001A70EA"/>
    <w:rsid w:val="001E0A80"/>
    <w:rsid w:val="001F0779"/>
    <w:rsid w:val="001F461C"/>
    <w:rsid w:val="00200102"/>
    <w:rsid w:val="00200E77"/>
    <w:rsid w:val="00206D86"/>
    <w:rsid w:val="002071D9"/>
    <w:rsid w:val="00222507"/>
    <w:rsid w:val="00222791"/>
    <w:rsid w:val="002547AC"/>
    <w:rsid w:val="00265C3F"/>
    <w:rsid w:val="002762F4"/>
    <w:rsid w:val="002B7F16"/>
    <w:rsid w:val="002D280F"/>
    <w:rsid w:val="002E02B1"/>
    <w:rsid w:val="00314956"/>
    <w:rsid w:val="00321E0F"/>
    <w:rsid w:val="00331315"/>
    <w:rsid w:val="003A1BCF"/>
    <w:rsid w:val="003A3FF3"/>
    <w:rsid w:val="003B06B4"/>
    <w:rsid w:val="003F074E"/>
    <w:rsid w:val="003F6A10"/>
    <w:rsid w:val="00404273"/>
    <w:rsid w:val="0044228C"/>
    <w:rsid w:val="00467BB1"/>
    <w:rsid w:val="004B79AA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84407"/>
    <w:rsid w:val="00915AA8"/>
    <w:rsid w:val="0093232F"/>
    <w:rsid w:val="00981FAC"/>
    <w:rsid w:val="009A2B97"/>
    <w:rsid w:val="009D74E7"/>
    <w:rsid w:val="00A6781E"/>
    <w:rsid w:val="00AD6606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BF6E99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DF40D4"/>
    <w:rsid w:val="00E32B6A"/>
    <w:rsid w:val="00E40529"/>
    <w:rsid w:val="00E80B5B"/>
    <w:rsid w:val="00E97A66"/>
    <w:rsid w:val="00EF005A"/>
    <w:rsid w:val="00EF0100"/>
    <w:rsid w:val="00F54B41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9198-885E-42A8-AAA0-E2F49335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Marina_Rada</cp:lastModifiedBy>
  <cp:revision>2</cp:revision>
  <cp:lastPrinted>2024-02-01T13:32:00Z</cp:lastPrinted>
  <dcterms:created xsi:type="dcterms:W3CDTF">2024-02-13T08:44:00Z</dcterms:created>
  <dcterms:modified xsi:type="dcterms:W3CDTF">2024-02-13T08:44:00Z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