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A84" w:rsidRDefault="00F05A84">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fa"/>
        <w:tblW w:w="9854" w:type="dxa"/>
        <w:tblInd w:w="-108" w:type="dxa"/>
        <w:tblLayout w:type="fixed"/>
        <w:tblLook w:val="0000" w:firstRow="0" w:lastRow="0" w:firstColumn="0" w:lastColumn="0" w:noHBand="0" w:noVBand="0"/>
      </w:tblPr>
      <w:tblGrid>
        <w:gridCol w:w="5353"/>
        <w:gridCol w:w="4501"/>
      </w:tblGrid>
      <w:tr w:rsidR="00F05A84">
        <w:tc>
          <w:tcPr>
            <w:tcW w:w="5353" w:type="dxa"/>
          </w:tcPr>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tc>
        <w:tc>
          <w:tcPr>
            <w:tcW w:w="4501" w:type="dxa"/>
          </w:tcPr>
          <w:p w:rsidR="00F05A84" w:rsidRDefault="00A16343">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«ЗАТВЕРДЖЕНО»</w:t>
            </w:r>
          </w:p>
          <w:p w:rsidR="00F05A84" w:rsidRDefault="00A16343">
            <w:pPr>
              <w:pBdr>
                <w:top w:val="nil"/>
                <w:left w:val="nil"/>
                <w:bottom w:val="nil"/>
                <w:right w:val="nil"/>
                <w:between w:val="nil"/>
              </w:pBdr>
              <w:ind w:firstLine="220"/>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Рішенням Боярської міської ради</w:t>
            </w:r>
          </w:p>
          <w:p w:rsidR="00F05A84" w:rsidRDefault="00A16343">
            <w:pPr>
              <w:pBdr>
                <w:top w:val="nil"/>
                <w:left w:val="nil"/>
                <w:bottom w:val="nil"/>
                <w:right w:val="nil"/>
                <w:between w:val="nil"/>
              </w:pBdr>
              <w:ind w:firstLine="220"/>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від __ травня 2024 р. № __/____</w:t>
            </w:r>
          </w:p>
          <w:p w:rsidR="00F05A84" w:rsidRDefault="00F05A84">
            <w:pPr>
              <w:pBdr>
                <w:top w:val="nil"/>
                <w:left w:val="nil"/>
                <w:bottom w:val="nil"/>
                <w:right w:val="nil"/>
                <w:between w:val="nil"/>
              </w:pBdr>
              <w:ind w:left="-1525"/>
              <w:rPr>
                <w:rFonts w:ascii="Times New Roman" w:eastAsia="Times New Roman" w:hAnsi="Times New Roman" w:cs="Times New Roman"/>
                <w:color w:val="000000"/>
                <w:sz w:val="28"/>
                <w:szCs w:val="28"/>
              </w:rPr>
            </w:pPr>
          </w:p>
        </w:tc>
      </w:tr>
    </w:tbl>
    <w:p w:rsidR="00F05A84" w:rsidRDefault="00F05A84">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ПРОГРАМА </w:t>
      </w:r>
    </w:p>
    <w:p w:rsidR="00F05A84" w:rsidRDefault="00A1634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РОЗВИТКУ, ФУНКЦІОНУВАННЯ </w:t>
      </w:r>
    </w:p>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ТА ФІНАНСОВОЇ ПІДТРИМКИ </w:t>
      </w:r>
    </w:p>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КОМУНАЛЬНОГО  НЕКОМЕРЦІЙНОГО ПІДПРИЄМСТВА </w:t>
      </w:r>
    </w:p>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«ЦЕНТР СОЦІАЛЬНИХ СЛУЖБ»</w:t>
      </w:r>
    </w:p>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БОЯРСЬКОЇ МІСЬКОЇ РАДИ</w:t>
      </w:r>
      <w:r>
        <w:rPr>
          <w:rFonts w:ascii="Times New Roman" w:eastAsia="Times New Roman" w:hAnsi="Times New Roman" w:cs="Times New Roman"/>
          <w:b/>
          <w:color w:val="000000"/>
          <w:sz w:val="28"/>
          <w:szCs w:val="28"/>
        </w:rPr>
        <w:br/>
        <w:t>НА 2024 РІК</w:t>
      </w: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ind w:left="3545" w:firstLine="708"/>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ind w:left="3545"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 Боярка</w:t>
      </w:r>
    </w:p>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  2024</w:t>
      </w: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 М І С Т</w:t>
      </w:r>
    </w:p>
    <w:p w:rsidR="00F05A84" w:rsidRDefault="00A16343">
      <w:pPr>
        <w:pBdr>
          <w:top w:val="nil"/>
          <w:left w:val="nil"/>
          <w:bottom w:val="nil"/>
          <w:right w:val="nil"/>
          <w:between w:val="nil"/>
        </w:pBdr>
        <w:spacing w:line="288" w:lineRule="auto"/>
        <w:ind w:left="86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Стор.</w:t>
      </w:r>
    </w:p>
    <w:tbl>
      <w:tblPr>
        <w:tblStyle w:val="afb"/>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7405"/>
        <w:gridCol w:w="1427"/>
      </w:tblGrid>
      <w:tr w:rsidR="00F05A84">
        <w:tc>
          <w:tcPr>
            <w:tcW w:w="816" w:type="dxa"/>
            <w:vAlign w:val="center"/>
          </w:tcPr>
          <w:p w:rsidR="00F05A84" w:rsidRDefault="00A16343">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w:t>
            </w:r>
          </w:p>
        </w:tc>
        <w:tc>
          <w:tcPr>
            <w:tcW w:w="7405" w:type="dxa"/>
          </w:tcPr>
          <w:p w:rsidR="00F05A84" w:rsidRDefault="00A16343">
            <w:pPr>
              <w:pBdr>
                <w:top w:val="nil"/>
                <w:left w:val="nil"/>
                <w:bottom w:val="nil"/>
                <w:right w:val="nil"/>
                <w:between w:val="nil"/>
              </w:pBdr>
              <w:jc w:val="both"/>
              <w:rPr>
                <w:rFonts w:ascii="Times New Roman" w:eastAsia="Times New Roman" w:hAnsi="Times New Roman" w:cs="Times New Roman"/>
                <w:color w:val="000000"/>
                <w:sz w:val="28"/>
                <w:szCs w:val="28"/>
              </w:rPr>
            </w:pPr>
            <w:bookmarkStart w:id="1" w:name="_heading=h.gjdgxs" w:colFirst="0" w:colLast="0"/>
            <w:bookmarkEnd w:id="1"/>
            <w:r>
              <w:rPr>
                <w:rFonts w:ascii="Times New Roman" w:eastAsia="Times New Roman" w:hAnsi="Times New Roman" w:cs="Times New Roman"/>
                <w:color w:val="000000"/>
                <w:sz w:val="28"/>
                <w:szCs w:val="28"/>
              </w:rPr>
              <w:t>Паспорт Програми розвитку, функціонування та фінансової підтримки Комунального некомерційного підприємства «Центр соціальних служб» Боярської міської ради на 2024 рік</w:t>
            </w:r>
          </w:p>
        </w:tc>
        <w:tc>
          <w:tcPr>
            <w:tcW w:w="1427" w:type="dxa"/>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F05A84">
        <w:tc>
          <w:tcPr>
            <w:tcW w:w="816" w:type="dxa"/>
            <w:vAlign w:val="center"/>
          </w:tcPr>
          <w:p w:rsidR="00F05A84" w:rsidRDefault="00A16343">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w:t>
            </w:r>
          </w:p>
        </w:tc>
        <w:tc>
          <w:tcPr>
            <w:tcW w:w="7405" w:type="dxa"/>
          </w:tcPr>
          <w:p w:rsidR="00F05A84" w:rsidRDefault="00A1634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Обґрунтування необхідності прийняття Програми </w:t>
            </w: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tc>
        <w:tc>
          <w:tcPr>
            <w:tcW w:w="1427" w:type="dxa"/>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F05A84">
        <w:tc>
          <w:tcPr>
            <w:tcW w:w="816" w:type="dxa"/>
            <w:vAlign w:val="center"/>
          </w:tcPr>
          <w:p w:rsidR="00F05A84" w:rsidRDefault="00A16343">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ІІІ.</w:t>
            </w:r>
          </w:p>
        </w:tc>
        <w:tc>
          <w:tcPr>
            <w:tcW w:w="7405" w:type="dxa"/>
          </w:tcPr>
          <w:p w:rsidR="00F05A84" w:rsidRDefault="00A1634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Мета і завдання Програми </w:t>
            </w: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tc>
        <w:tc>
          <w:tcPr>
            <w:tcW w:w="1427" w:type="dxa"/>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4</w:t>
            </w:r>
          </w:p>
        </w:tc>
      </w:tr>
      <w:tr w:rsidR="00F05A84">
        <w:tc>
          <w:tcPr>
            <w:tcW w:w="816" w:type="dxa"/>
            <w:vAlign w:val="center"/>
          </w:tcPr>
          <w:p w:rsidR="00F05A84" w:rsidRDefault="00A16343">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ІV.</w:t>
            </w:r>
          </w:p>
        </w:tc>
        <w:tc>
          <w:tcPr>
            <w:tcW w:w="7405" w:type="dxa"/>
          </w:tcPr>
          <w:p w:rsidR="00F05A84" w:rsidRDefault="00A1634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Фінансування Програми </w:t>
            </w: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tc>
        <w:tc>
          <w:tcPr>
            <w:tcW w:w="1427" w:type="dxa"/>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F05A84">
        <w:tc>
          <w:tcPr>
            <w:tcW w:w="816" w:type="dxa"/>
            <w:vAlign w:val="center"/>
          </w:tcPr>
          <w:p w:rsidR="00F05A84" w:rsidRDefault="00A16343">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w:t>
            </w:r>
          </w:p>
        </w:tc>
        <w:tc>
          <w:tcPr>
            <w:tcW w:w="7405" w:type="dxa"/>
          </w:tcPr>
          <w:p w:rsidR="00F05A84" w:rsidRDefault="00A16343">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Заходи щодо реалізації Програми </w:t>
            </w:r>
          </w:p>
          <w:p w:rsidR="00F05A84" w:rsidRDefault="00F05A84">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1427" w:type="dxa"/>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F05A84">
        <w:tc>
          <w:tcPr>
            <w:tcW w:w="816" w:type="dxa"/>
            <w:vAlign w:val="center"/>
          </w:tcPr>
          <w:p w:rsidR="00F05A84" w:rsidRDefault="00A16343">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VI.</w:t>
            </w:r>
          </w:p>
        </w:tc>
        <w:tc>
          <w:tcPr>
            <w:tcW w:w="7405" w:type="dxa"/>
          </w:tcPr>
          <w:p w:rsidR="00F05A84" w:rsidRDefault="00A16343">
            <w:pPr>
              <w:pBdr>
                <w:top w:val="nil"/>
                <w:left w:val="nil"/>
                <w:bottom w:val="nil"/>
                <w:right w:val="nil"/>
                <w:between w:val="nil"/>
              </w:pBdr>
              <w:tabs>
                <w:tab w:val="left" w:pos="426"/>
                <w:tab w:val="left" w:pos="851"/>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Координація та контроль за ходом виконання Програми</w:t>
            </w:r>
          </w:p>
        </w:tc>
        <w:tc>
          <w:tcPr>
            <w:tcW w:w="1427" w:type="dxa"/>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bl>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І. Паспорт Програми розвитку, функціонування та фінансової підтримки Комунального некомерційного підприємства «Центр соціальних служб» Боярської міської ради на 2024 рік</w:t>
      </w: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tbl>
      <w:tblPr>
        <w:tblStyle w:val="afc"/>
        <w:tblW w:w="9611" w:type="dxa"/>
        <w:tblInd w:w="-113" w:type="dxa"/>
        <w:tblLayout w:type="fixed"/>
        <w:tblLook w:val="0000" w:firstRow="0" w:lastRow="0" w:firstColumn="0" w:lastColumn="0" w:noHBand="0" w:noVBand="0"/>
      </w:tblPr>
      <w:tblGrid>
        <w:gridCol w:w="786"/>
        <w:gridCol w:w="3580"/>
        <w:gridCol w:w="5245"/>
      </w:tblGrid>
      <w:tr w:rsidR="00F05A84">
        <w:tc>
          <w:tcPr>
            <w:tcW w:w="786" w:type="dxa"/>
            <w:tcBorders>
              <w:top w:val="single" w:sz="4" w:space="0" w:color="000000"/>
              <w:left w:val="single" w:sz="4" w:space="0" w:color="000000"/>
              <w:bottom w:val="single" w:sz="4" w:space="0" w:color="000000"/>
            </w:tcBorders>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580" w:type="dxa"/>
            <w:tcBorders>
              <w:top w:val="single" w:sz="4" w:space="0" w:color="000000"/>
              <w:left w:val="single" w:sz="4" w:space="0" w:color="000000"/>
              <w:bottom w:val="single" w:sz="4" w:space="0" w:color="000000"/>
            </w:tcBorders>
            <w:vAlign w:val="center"/>
          </w:tcPr>
          <w:p w:rsidR="00F05A84" w:rsidRDefault="00A1634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Ініціатор розроблення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КНП «Центр соціальних служб» Боярської міської ради</w:t>
            </w:r>
          </w:p>
        </w:tc>
      </w:tr>
      <w:tr w:rsidR="00F05A84">
        <w:tc>
          <w:tcPr>
            <w:tcW w:w="786" w:type="dxa"/>
            <w:tcBorders>
              <w:top w:val="single" w:sz="4" w:space="0" w:color="000000"/>
              <w:left w:val="single" w:sz="4" w:space="0" w:color="000000"/>
              <w:bottom w:val="single" w:sz="4" w:space="0" w:color="000000"/>
            </w:tcBorders>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580" w:type="dxa"/>
            <w:tcBorders>
              <w:top w:val="single" w:sz="4" w:space="0" w:color="000000"/>
              <w:left w:val="single" w:sz="4" w:space="0" w:color="000000"/>
              <w:bottom w:val="single" w:sz="4" w:space="0" w:color="000000"/>
            </w:tcBorders>
            <w:vAlign w:val="center"/>
          </w:tcPr>
          <w:p w:rsidR="00F05A84" w:rsidRDefault="00A1634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Розробник Програми</w:t>
            </w:r>
          </w:p>
        </w:tc>
        <w:tc>
          <w:tcPr>
            <w:tcW w:w="5245" w:type="dxa"/>
            <w:tcBorders>
              <w:top w:val="single" w:sz="4" w:space="0" w:color="000000"/>
              <w:left w:val="single" w:sz="4" w:space="0" w:color="000000"/>
              <w:bottom w:val="single" w:sz="4" w:space="0" w:color="000000"/>
              <w:right w:val="single" w:sz="4" w:space="0" w:color="000000"/>
            </w:tcBorders>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КНП «Центр соціальних служб» Боярської міської ради</w:t>
            </w:r>
          </w:p>
        </w:tc>
      </w:tr>
      <w:tr w:rsidR="00F05A84">
        <w:tc>
          <w:tcPr>
            <w:tcW w:w="786" w:type="dxa"/>
            <w:tcBorders>
              <w:top w:val="single" w:sz="4" w:space="0" w:color="000000"/>
              <w:left w:val="single" w:sz="4" w:space="0" w:color="000000"/>
              <w:bottom w:val="single" w:sz="4" w:space="0" w:color="000000"/>
            </w:tcBorders>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580" w:type="dxa"/>
            <w:tcBorders>
              <w:top w:val="single" w:sz="4" w:space="0" w:color="000000"/>
              <w:left w:val="single" w:sz="4" w:space="0" w:color="000000"/>
              <w:bottom w:val="single" w:sz="4" w:space="0" w:color="000000"/>
            </w:tcBorders>
            <w:vAlign w:val="center"/>
          </w:tcPr>
          <w:p w:rsidR="00F05A84" w:rsidRDefault="00A1634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Відповідальний виконавець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Боярська міська рада</w:t>
            </w:r>
          </w:p>
        </w:tc>
      </w:tr>
      <w:tr w:rsidR="00F05A84">
        <w:tc>
          <w:tcPr>
            <w:tcW w:w="786" w:type="dxa"/>
            <w:tcBorders>
              <w:top w:val="single" w:sz="4" w:space="0" w:color="000000"/>
              <w:left w:val="single" w:sz="4" w:space="0" w:color="000000"/>
              <w:bottom w:val="single" w:sz="4" w:space="0" w:color="000000"/>
            </w:tcBorders>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580" w:type="dxa"/>
            <w:tcBorders>
              <w:top w:val="single" w:sz="4" w:space="0" w:color="000000"/>
              <w:left w:val="single" w:sz="4" w:space="0" w:color="000000"/>
              <w:bottom w:val="single" w:sz="4" w:space="0" w:color="000000"/>
            </w:tcBorders>
            <w:vAlign w:val="center"/>
          </w:tcPr>
          <w:p w:rsidR="00F05A84" w:rsidRDefault="00A1634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Учасники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Управління соціального захисту населення комітет Боярської міської ради, Виконавчий комітет Боярської міської ради, інші органи місцевого самоврядування, КНП «Центр соціальних служб» Боярської міської ради</w:t>
            </w:r>
          </w:p>
        </w:tc>
      </w:tr>
      <w:tr w:rsidR="00F05A84">
        <w:tc>
          <w:tcPr>
            <w:tcW w:w="786" w:type="dxa"/>
            <w:tcBorders>
              <w:top w:val="single" w:sz="4" w:space="0" w:color="000000"/>
              <w:left w:val="single" w:sz="4" w:space="0" w:color="000000"/>
              <w:bottom w:val="single" w:sz="4" w:space="0" w:color="000000"/>
            </w:tcBorders>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580" w:type="dxa"/>
            <w:tcBorders>
              <w:top w:val="single" w:sz="4" w:space="0" w:color="000000"/>
              <w:left w:val="single" w:sz="4" w:space="0" w:color="000000"/>
              <w:bottom w:val="single" w:sz="4" w:space="0" w:color="000000"/>
            </w:tcBorders>
            <w:vAlign w:val="center"/>
          </w:tcPr>
          <w:p w:rsidR="00F05A84" w:rsidRDefault="00A1634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Термін реалізації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2024 рік</w:t>
            </w:r>
          </w:p>
        </w:tc>
      </w:tr>
      <w:tr w:rsidR="00F05A84">
        <w:tc>
          <w:tcPr>
            <w:tcW w:w="786" w:type="dxa"/>
            <w:tcBorders>
              <w:top w:val="single" w:sz="4" w:space="0" w:color="000000"/>
              <w:left w:val="single" w:sz="4" w:space="0" w:color="000000"/>
              <w:bottom w:val="single" w:sz="4" w:space="0" w:color="000000"/>
            </w:tcBorders>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580" w:type="dxa"/>
            <w:tcBorders>
              <w:top w:val="single" w:sz="4" w:space="0" w:color="000000"/>
              <w:left w:val="single" w:sz="4" w:space="0" w:color="000000"/>
              <w:bottom w:val="single" w:sz="4" w:space="0" w:color="000000"/>
            </w:tcBorders>
            <w:vAlign w:val="center"/>
          </w:tcPr>
          <w:p w:rsidR="00F05A84" w:rsidRDefault="00A1634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Джерела фінансування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Бюджет Боярської міської територіальної громади, субвенції з державного, обласного бюджетів та інші джерела, не заборонені законодавством</w:t>
            </w:r>
          </w:p>
        </w:tc>
      </w:tr>
      <w:tr w:rsidR="00F05A84">
        <w:tc>
          <w:tcPr>
            <w:tcW w:w="786" w:type="dxa"/>
            <w:tcBorders>
              <w:top w:val="single" w:sz="4" w:space="0" w:color="000000"/>
              <w:left w:val="single" w:sz="4" w:space="0" w:color="000000"/>
              <w:bottom w:val="single" w:sz="4" w:space="0" w:color="000000"/>
            </w:tcBorders>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580" w:type="dxa"/>
            <w:tcBorders>
              <w:top w:val="single" w:sz="4" w:space="0" w:color="000000"/>
              <w:left w:val="single" w:sz="4" w:space="0" w:color="000000"/>
              <w:bottom w:val="single" w:sz="4" w:space="0" w:color="000000"/>
            </w:tcBorders>
            <w:vAlign w:val="center"/>
          </w:tcPr>
          <w:p w:rsidR="00F05A84" w:rsidRDefault="00A1634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Загальний обсяг фінансових ресурсів, необхідних для реалізації Програми, всього</w:t>
            </w:r>
          </w:p>
        </w:tc>
        <w:tc>
          <w:tcPr>
            <w:tcW w:w="5245" w:type="dxa"/>
            <w:tcBorders>
              <w:top w:val="single" w:sz="4" w:space="0" w:color="000000"/>
              <w:left w:val="single" w:sz="4" w:space="0" w:color="000000"/>
              <w:bottom w:val="single" w:sz="4" w:space="0" w:color="000000"/>
              <w:right w:val="single" w:sz="4" w:space="0" w:color="000000"/>
            </w:tcBorders>
            <w:vAlign w:val="center"/>
          </w:tcPr>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кошторисних призначень</w:t>
            </w: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 Обґрунтування необхідності прийняття Програми</w:t>
      </w: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Проблемами у сфері соціальної роботи із сім’ями, дітьми та молоддю, які належать до вразливих груп населення та/або перебувають у складних життєвих обставинах, наданні соціальні послуги, а також наданні послуг з підтримки переходу від військової служби до </w:t>
      </w:r>
      <w:r>
        <w:rPr>
          <w:rFonts w:ascii="Times New Roman" w:eastAsia="Times New Roman" w:hAnsi="Times New Roman" w:cs="Times New Roman"/>
          <w:color w:val="000000"/>
          <w:sz w:val="28"/>
          <w:szCs w:val="28"/>
        </w:rPr>
        <w:t>цивільного життя Боярської міської територіальної громади є недостатність фінансових, у першу чергу, бюджетних ресурсів для забезпечення ефективного функціонування системи соціального захисту населення, недосконалість нормативно-правової бази та складність</w:t>
      </w:r>
      <w:r>
        <w:rPr>
          <w:rFonts w:ascii="Times New Roman" w:eastAsia="Times New Roman" w:hAnsi="Times New Roman" w:cs="Times New Roman"/>
          <w:color w:val="000000"/>
          <w:sz w:val="28"/>
          <w:szCs w:val="28"/>
        </w:rPr>
        <w:t xml:space="preserve"> забезпечення якісних послуг соціального характеру.</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Затвердження Програми розвитку, функціонування та фінансової підтримки Комунального некомерційного підприємства «Центр соціальних служб» Боярської міської ради на 2024 рік (далі – Програма) дозволить запр</w:t>
      </w:r>
      <w:r>
        <w:rPr>
          <w:rFonts w:ascii="Times New Roman" w:eastAsia="Times New Roman" w:hAnsi="Times New Roman" w:cs="Times New Roman"/>
          <w:color w:val="000000"/>
          <w:sz w:val="28"/>
          <w:szCs w:val="28"/>
        </w:rPr>
        <w:t xml:space="preserve">овадити системний підхід до вирішення сучасних викликів соціальної сфери, зміцнити потенціал соціальної галузі, підвищити її ефективність, забезпечити безпеку населення  під час повномасштабного вторгнення рф. </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«Порядку організації надання с</w:t>
      </w:r>
      <w:r>
        <w:rPr>
          <w:rFonts w:ascii="Times New Roman" w:eastAsia="Times New Roman" w:hAnsi="Times New Roman" w:cs="Times New Roman"/>
          <w:color w:val="000000"/>
          <w:sz w:val="28"/>
          <w:szCs w:val="28"/>
        </w:rPr>
        <w:t xml:space="preserve">оціальних послуг», затвердженого постановою Кабінету Міністрів України від 1 червня 2020 року № 587 забезпечення надання базових соціальних послуг особам/сім’ям відповідно до їх потреб, вжиття заходів до надання інших соціальних послуг таким особам/сім’ям </w:t>
      </w:r>
      <w:r>
        <w:rPr>
          <w:rFonts w:ascii="Times New Roman" w:eastAsia="Times New Roman" w:hAnsi="Times New Roman" w:cs="Times New Roman"/>
          <w:color w:val="000000"/>
          <w:sz w:val="28"/>
          <w:szCs w:val="28"/>
        </w:rPr>
        <w:t xml:space="preserve">покладається на </w:t>
      </w:r>
      <w:r>
        <w:rPr>
          <w:rFonts w:ascii="Times New Roman" w:eastAsia="Times New Roman" w:hAnsi="Times New Roman" w:cs="Times New Roman"/>
          <w:color w:val="333333"/>
          <w:sz w:val="28"/>
          <w:szCs w:val="28"/>
          <w:highlight w:val="white"/>
        </w:rPr>
        <w:t>виконавчі органи сільських, селищних, міських рад</w:t>
      </w:r>
      <w:r>
        <w:rPr>
          <w:rFonts w:ascii="Times New Roman" w:eastAsia="Times New Roman" w:hAnsi="Times New Roman" w:cs="Times New Roman"/>
          <w:color w:val="000000"/>
          <w:sz w:val="28"/>
          <w:szCs w:val="28"/>
        </w:rPr>
        <w:t xml:space="preserve">. Як наслідок, фінансове навантаження повністю лягає на бюджет громади. </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Враховуючи зазначене, Бюджетним Кодексом України передбачено можливість затвердження місцевих програм підтримки та роз</w:t>
      </w:r>
      <w:r>
        <w:rPr>
          <w:rFonts w:ascii="Times New Roman" w:eastAsia="Times New Roman" w:hAnsi="Times New Roman" w:cs="Times New Roman"/>
          <w:color w:val="000000"/>
          <w:sz w:val="28"/>
          <w:szCs w:val="28"/>
        </w:rPr>
        <w:t>витку комунальних неприбуткових підприємств, що повністю утримуються за рахунок відповідного місцевого бюджету, зокрема щодо їх поточного утримання та оновлення матеріально-технічної бази, капітального ремонту, реконструкції, підвищення оплати праці праців</w:t>
      </w:r>
      <w:r>
        <w:rPr>
          <w:rFonts w:ascii="Times New Roman" w:eastAsia="Times New Roman" w:hAnsi="Times New Roman" w:cs="Times New Roman"/>
          <w:color w:val="000000"/>
          <w:sz w:val="28"/>
          <w:szCs w:val="28"/>
        </w:rPr>
        <w:t xml:space="preserve">ників (передбачення місцевих стимулів),   забезпечення оплати соціальних послуг, що надаються в рамках державних стандартів надання соціальних послуг населенню, для покриття вартості комунальних послуг та енергоносіїв. </w:t>
      </w: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ІІІ. Мета і завдання Програми</w:t>
      </w: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w:t>
      </w:r>
      <w:r>
        <w:rPr>
          <w:rFonts w:ascii="Times New Roman" w:eastAsia="Times New Roman" w:hAnsi="Times New Roman" w:cs="Times New Roman"/>
          <w:color w:val="000000"/>
          <w:sz w:val="28"/>
          <w:szCs w:val="28"/>
        </w:rPr>
        <w:t xml:space="preserve"> Програми – підтримка сталого функціонування та розвиток надавача соціальних послуг шляхом фінансування  поточних та капітальних видатків для належного забезпечення надання соціальних послуг населенню, створення максимально сприятливих умов роботи фахівців</w:t>
      </w:r>
      <w:r>
        <w:rPr>
          <w:rFonts w:ascii="Times New Roman" w:eastAsia="Times New Roman" w:hAnsi="Times New Roman" w:cs="Times New Roman"/>
          <w:color w:val="000000"/>
          <w:sz w:val="28"/>
          <w:szCs w:val="28"/>
        </w:rPr>
        <w:t xml:space="preserve"> х соціальної роботи та комфорту мешканців громади, попередження виникнення та мінімізації складних життєвих обставин.</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якості та доступності соціальних послуг населенню за напрямками:</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проведення соціально-профілактичної роботи, спрямованої на </w:t>
      </w:r>
      <w:r>
        <w:rPr>
          <w:rFonts w:ascii="Times New Roman" w:eastAsia="Times New Roman" w:hAnsi="Times New Roman" w:cs="Times New Roman"/>
          <w:color w:val="000000"/>
          <w:sz w:val="28"/>
          <w:szCs w:val="28"/>
        </w:rPr>
        <w:t>запобігання потраплянню у складні життєві обставини осіб та сімей з дітьми;</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особам і сім’ям з дітьми комплексу соціальних послуг відповідно до їх потреб згідно з переліком, затвердженим центральним органом виконавчої влади, який забезпечує формування та реалізацію державної політики у сфері сім’ї та дітей, з метою подоланн</w:t>
      </w:r>
      <w:r>
        <w:rPr>
          <w:rFonts w:ascii="Times New Roman" w:eastAsia="Times New Roman" w:hAnsi="Times New Roman" w:cs="Times New Roman"/>
          <w:color w:val="000000"/>
          <w:sz w:val="28"/>
          <w:szCs w:val="28"/>
        </w:rPr>
        <w:t>я складних життєвих обставин та мінімізації негативних наслідків таких обставин;</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здійснення заходів щодо 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w:t>
      </w:r>
      <w:r>
        <w:rPr>
          <w:rFonts w:ascii="Times New Roman" w:eastAsia="Times New Roman" w:hAnsi="Times New Roman" w:cs="Times New Roman"/>
          <w:color w:val="000000"/>
          <w:sz w:val="28"/>
          <w:szCs w:val="28"/>
        </w:rPr>
        <w:t xml:space="preserve"> чи подолання складних життєвих обставин;</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виявлення отримувачів соціальних послуг та ведення їх обліку;</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здійснення заходів щодо соціальної та психологічної адаптації дітей-сиріт і дітей, позбавлених батьківського піклування, осіб з їх числа з метою підгото</w:t>
      </w:r>
      <w:r>
        <w:rPr>
          <w:rFonts w:ascii="Times New Roman" w:eastAsia="Times New Roman" w:hAnsi="Times New Roman" w:cs="Times New Roman"/>
          <w:color w:val="000000"/>
          <w:sz w:val="28"/>
          <w:szCs w:val="28"/>
        </w:rPr>
        <w:t>вки до самостійного життя, організації наставництва;</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оцінювання потреб осіб/сімей, які належать до вразливих груп населення та/або перебувають у складних життєвих обставинах, у соціальних послугах, визначення методів соціальної роботи, забезпече</w:t>
      </w:r>
      <w:r>
        <w:rPr>
          <w:rFonts w:ascii="Times New Roman" w:eastAsia="Times New Roman" w:hAnsi="Times New Roman" w:cs="Times New Roman"/>
          <w:color w:val="000000"/>
          <w:sz w:val="28"/>
          <w:szCs w:val="28"/>
        </w:rPr>
        <w:t>ння психологічної підтримки;</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соціальних послуг відповідно до державних стандартів соціальних послуг, зокрема:</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(001.0) інформування;</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(002.0)  консультування;</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(003.0) посередництво (медіація);</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(004.0) представництва інтересів;</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(007.0)  соціальна профілактика;</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(010.0) соціальний супровід;</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(010.1) соціальний супровід сімей, які перебувають у складних життєвих обставинах;</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(010.2) соціальний супровід сімей, в яких виховуються діти-сироти та діти, позбавлені батьківського піклування;</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(012.0) кризове та екстрене втручання;</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(013.0) соціальна адаптація;</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(014.0) соціальна інтеграція та реінтеграція;</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(017.2) соціально-психологічна реабілітація</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інші соціальні послуги відповідно до визначених потреб;</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забезпечення соціального патронажу осіб, </w:t>
      </w:r>
      <w:r>
        <w:rPr>
          <w:rFonts w:ascii="Times New Roman" w:eastAsia="Times New Roman" w:hAnsi="Times New Roman" w:cs="Times New Roman"/>
          <w:color w:val="000000"/>
          <w:sz w:val="28"/>
          <w:szCs w:val="28"/>
        </w:rPr>
        <w:t>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підтримка психічного здоров’я населення та зниження загального рівня </w:t>
      </w:r>
      <w:r>
        <w:rPr>
          <w:rFonts w:ascii="Times New Roman" w:eastAsia="Times New Roman" w:hAnsi="Times New Roman" w:cs="Times New Roman"/>
          <w:color w:val="000000"/>
          <w:sz w:val="28"/>
          <w:szCs w:val="28"/>
        </w:rPr>
        <w:t>стресу і тривожності серед громадян;</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адаптація осіб / сімей / жителів територіальної громади до кризових ситуацій (зокрема, воєнних дій, тимчасової окупації, повсюдних проявів </w:t>
      </w:r>
      <w:r>
        <w:rPr>
          <w:rFonts w:ascii="Times New Roman" w:eastAsia="Times New Roman" w:hAnsi="Times New Roman" w:cs="Times New Roman"/>
          <w:color w:val="000000"/>
          <w:sz w:val="28"/>
          <w:szCs w:val="28"/>
        </w:rPr>
        <w:lastRenderedPageBreak/>
        <w:t>насильства, порушень прав людини та надзвичайних ситуацій природного чи техноген</w:t>
      </w:r>
      <w:r>
        <w:rPr>
          <w:rFonts w:ascii="Times New Roman" w:eastAsia="Times New Roman" w:hAnsi="Times New Roman" w:cs="Times New Roman"/>
          <w:color w:val="000000"/>
          <w:sz w:val="28"/>
          <w:szCs w:val="28"/>
        </w:rPr>
        <w:t xml:space="preserve">ного характеру тощо), набуття навичок стресостійкості (як комплексу особистісних якостей, який дає змогу переносити значні інтелектуальні, вольові та емоційні навантаження без особливих шкідливих наслідків для власного здоров’я, інших людей та професійної </w:t>
      </w:r>
      <w:r>
        <w:rPr>
          <w:rFonts w:ascii="Times New Roman" w:eastAsia="Times New Roman" w:hAnsi="Times New Roman" w:cs="Times New Roman"/>
          <w:color w:val="000000"/>
          <w:sz w:val="28"/>
          <w:szCs w:val="28"/>
        </w:rPr>
        <w:t>діяльності) задля повноцінного функціонування та запобігання психологічній травматизації та мінімізації ризиків повторних випадків психологічної травматизації (ретравматизації);</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зміцнення сімейних і родинних зв’язків та сприяння розвитку батьківських компе</w:t>
      </w:r>
      <w:r>
        <w:rPr>
          <w:rFonts w:ascii="Times New Roman" w:eastAsia="Times New Roman" w:hAnsi="Times New Roman" w:cs="Times New Roman"/>
          <w:color w:val="000000"/>
          <w:sz w:val="28"/>
          <w:szCs w:val="28"/>
        </w:rPr>
        <w:t>тентностей;</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зміцнення та координація волонтерського руху у сфері надання соціальних послуг;</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підвищення соціальної згуртованості громади;</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участь в організації заходів із забезпечення реалізації переходу від військової служби до цивільного життя.</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Програма сп</w:t>
      </w:r>
      <w:r>
        <w:rPr>
          <w:rFonts w:ascii="Times New Roman" w:eastAsia="Times New Roman" w:hAnsi="Times New Roman" w:cs="Times New Roman"/>
          <w:color w:val="000000"/>
          <w:sz w:val="28"/>
          <w:szCs w:val="28"/>
        </w:rPr>
        <w:t>риятиме повноцінному функціонуванню та розвитку матеріально-технічної бази центру; забезпеченню потреб соціальних служб міської територіальної громади.</w:t>
      </w:r>
    </w:p>
    <w:p w:rsidR="00F05A84" w:rsidRDefault="00F05A8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ІV. Фінансування Програми</w:t>
      </w:r>
    </w:p>
    <w:p w:rsidR="00F05A84" w:rsidRDefault="00F05A84">
      <w:pPr>
        <w:pBdr>
          <w:top w:val="nil"/>
          <w:left w:val="nil"/>
          <w:bottom w:val="nil"/>
          <w:right w:val="nil"/>
          <w:between w:val="nil"/>
        </w:pBdr>
        <w:jc w:val="center"/>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Фінансування Програми здійснюватиметься відповідно до чинного законодавства за рахунок коштів бюджету Боярської міської територіальної громади, субвенцій з державного бю</w:t>
      </w:r>
      <w:r>
        <w:rPr>
          <w:rFonts w:ascii="Times New Roman" w:eastAsia="Times New Roman" w:hAnsi="Times New Roman" w:cs="Times New Roman"/>
          <w:sz w:val="28"/>
          <w:szCs w:val="28"/>
        </w:rPr>
        <w:t>джету</w:t>
      </w:r>
      <w:r>
        <w:rPr>
          <w:rFonts w:ascii="Times New Roman" w:eastAsia="Times New Roman" w:hAnsi="Times New Roman" w:cs="Times New Roman"/>
          <w:color w:val="000000"/>
          <w:sz w:val="28"/>
          <w:szCs w:val="28"/>
        </w:rPr>
        <w:t xml:space="preserve"> та інших джерел, не заборонених законодавством України (Додаток 1)</w:t>
      </w:r>
    </w:p>
    <w:p w:rsidR="00F05A84" w:rsidRDefault="00F05A84">
      <w:pPr>
        <w:pBdr>
          <w:top w:val="nil"/>
          <w:left w:val="nil"/>
          <w:bottom w:val="nil"/>
          <w:right w:val="nil"/>
          <w:between w:val="nil"/>
        </w:pBdr>
        <w:ind w:left="349"/>
        <w:jc w:val="center"/>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 Заходи щодо реалізації Програми</w:t>
      </w:r>
    </w:p>
    <w:p w:rsidR="00F05A84" w:rsidRDefault="00F05A8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метою належного забезпечення надання соціальних послуг, сталого функціонування, підтримки та розвитку Центру соціальних служб за цією програмою здійснюється фінансування їх видатків шляхом:</w:t>
      </w:r>
    </w:p>
    <w:p w:rsidR="00F05A84" w:rsidRDefault="00A16343">
      <w:pPr>
        <w:numPr>
          <w:ilvl w:val="0"/>
          <w:numId w:val="1"/>
        </w:numPr>
        <w:pBdr>
          <w:top w:val="nil"/>
          <w:left w:val="nil"/>
          <w:bottom w:val="nil"/>
          <w:right w:val="nil"/>
          <w:between w:val="nil"/>
        </w:pBdr>
        <w:tabs>
          <w:tab w:val="left" w:pos="993"/>
          <w:tab w:val="left" w:pos="1418"/>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Фінансування з бюджету Боярської міської територіальної громади та інших джерел, не заборонених законодавством, оплати соціальних послуг, що надаються в рамках державних стандартів надання соціальних послуг населенню, зокрема, але не виключно, для покриття</w:t>
      </w:r>
      <w:r>
        <w:rPr>
          <w:rFonts w:ascii="Times New Roman" w:eastAsia="Times New Roman" w:hAnsi="Times New Roman" w:cs="Times New Roman"/>
          <w:color w:val="000000"/>
          <w:sz w:val="28"/>
          <w:szCs w:val="28"/>
        </w:rPr>
        <w:t xml:space="preserve"> вартості наступних видатків:</w:t>
      </w:r>
    </w:p>
    <w:p w:rsidR="00F05A84" w:rsidRDefault="00A16343">
      <w:pPr>
        <w:numPr>
          <w:ilvl w:val="1"/>
          <w:numId w:val="1"/>
        </w:numPr>
        <w:pBdr>
          <w:top w:val="nil"/>
          <w:left w:val="nil"/>
          <w:bottom w:val="nil"/>
          <w:right w:val="nil"/>
          <w:between w:val="nil"/>
        </w:pBdr>
        <w:tabs>
          <w:tab w:val="left" w:pos="709"/>
          <w:tab w:val="left" w:pos="993"/>
        </w:tabs>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поточного утримання та функціонування центру, у тому числі:</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підвищення оплати праці працівників соціальних служб(передбачення місцевих стимулів у вигляді преміювання);</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придбання предметів, матеріалів, обладнан</w:t>
      </w:r>
      <w:r>
        <w:rPr>
          <w:rFonts w:ascii="Times New Roman" w:eastAsia="Times New Roman" w:hAnsi="Times New Roman" w:cs="Times New Roman"/>
          <w:color w:val="000000"/>
          <w:sz w:val="28"/>
          <w:szCs w:val="28"/>
        </w:rPr>
        <w:t>ня та інвентарю;</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оплата послуг (крім комунальних);</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видатки на відрядження;</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виплата пенсій і допомоги;</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інші виплати населенню;</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інші поточні видатки.</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 Забезпечення видатків капітального характеру, у тому числі:</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придбання обладнання і предметів довгострокового користування;</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капітальний ремонт;</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реконструкція, реставрація та переоснащення; </w:t>
      </w: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капітальне будівництво (придбання). </w:t>
      </w:r>
    </w:p>
    <w:p w:rsidR="00F05A84" w:rsidRDefault="00A16343">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покриття вартості комунальних послуг та енергоносіїв центру.</w:t>
      </w:r>
    </w:p>
    <w:p w:rsidR="00F05A84" w:rsidRDefault="00A16343">
      <w:pPr>
        <w:numPr>
          <w:ilvl w:val="0"/>
          <w:numId w:val="2"/>
        </w:numPr>
        <w:pBdr>
          <w:top w:val="nil"/>
          <w:left w:val="nil"/>
          <w:bottom w:val="nil"/>
          <w:right w:val="nil"/>
          <w:between w:val="nil"/>
        </w:pBdr>
        <w:tabs>
          <w:tab w:val="left" w:pos="1276"/>
          <w:tab w:val="left" w:pos="1701"/>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w:t>
      </w:r>
      <w:r>
        <w:rPr>
          <w:rFonts w:ascii="Times New Roman" w:eastAsia="Times New Roman" w:hAnsi="Times New Roman" w:cs="Times New Roman"/>
          <w:color w:val="000000"/>
          <w:sz w:val="28"/>
          <w:szCs w:val="28"/>
        </w:rPr>
        <w:t>ення надання соціальних послуг, проведення видатків та придбання товарів, витратних матеріалів</w:t>
      </w:r>
    </w:p>
    <w:p w:rsidR="00F05A84" w:rsidRDefault="00F05A84">
      <w:pPr>
        <w:pBdr>
          <w:top w:val="nil"/>
          <w:left w:val="nil"/>
          <w:bottom w:val="nil"/>
          <w:right w:val="nil"/>
          <w:between w:val="nil"/>
        </w:pBdr>
        <w:jc w:val="both"/>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VІ. Координація та контроль за ходом виконання Програми</w:t>
      </w:r>
    </w:p>
    <w:p w:rsidR="00F05A84" w:rsidRDefault="00F05A8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Управління, координацію та контроль виконання Програми здійснює КНП </w:t>
      </w:r>
      <w:r>
        <w:rPr>
          <w:rFonts w:ascii="Times New Roman" w:eastAsia="Times New Roman" w:hAnsi="Times New Roman" w:cs="Times New Roman"/>
          <w:sz w:val="28"/>
          <w:szCs w:val="28"/>
        </w:rPr>
        <w:t>“Ц</w:t>
      </w:r>
      <w:r>
        <w:rPr>
          <w:rFonts w:ascii="Times New Roman" w:eastAsia="Times New Roman" w:hAnsi="Times New Roman" w:cs="Times New Roman"/>
          <w:color w:val="000000"/>
          <w:sz w:val="28"/>
          <w:szCs w:val="28"/>
        </w:rPr>
        <w:t>ентр соціальних служб</w:t>
      </w:r>
      <w:r>
        <w:rPr>
          <w:rFonts w:ascii="Times New Roman" w:eastAsia="Times New Roman" w:hAnsi="Times New Roman" w:cs="Times New Roman"/>
          <w:sz w:val="28"/>
          <w:szCs w:val="28"/>
        </w:rPr>
        <w:t>” Боярської міської ради</w:t>
      </w:r>
      <w:r>
        <w:rPr>
          <w:rFonts w:ascii="Times New Roman" w:eastAsia="Times New Roman" w:hAnsi="Times New Roman" w:cs="Times New Roman"/>
          <w:color w:val="000000"/>
          <w:sz w:val="28"/>
          <w:szCs w:val="28"/>
        </w:rPr>
        <w:t>.</w:t>
      </w: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jc w:val="both"/>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Заступник міського голови                                           Наталія УЛЬЯНОВА</w:t>
      </w: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F05A84">
      <w:pPr>
        <w:pBdr>
          <w:top w:val="nil"/>
          <w:left w:val="nil"/>
          <w:bottom w:val="nil"/>
          <w:right w:val="nil"/>
          <w:between w:val="nil"/>
        </w:pBdr>
        <w:rPr>
          <w:rFonts w:ascii="Times New Roman" w:eastAsia="Times New Roman" w:hAnsi="Times New Roman" w:cs="Times New Roman"/>
          <w:sz w:val="28"/>
          <w:szCs w:val="28"/>
        </w:rPr>
      </w:pPr>
    </w:p>
    <w:p w:rsidR="00F05A84" w:rsidRDefault="00F05A84">
      <w:pPr>
        <w:pBdr>
          <w:top w:val="nil"/>
          <w:left w:val="nil"/>
          <w:bottom w:val="nil"/>
          <w:right w:val="nil"/>
          <w:between w:val="nil"/>
        </w:pBdr>
        <w:rPr>
          <w:rFonts w:ascii="Times New Roman" w:eastAsia="Times New Roman" w:hAnsi="Times New Roman" w:cs="Times New Roman"/>
          <w:sz w:val="28"/>
          <w:szCs w:val="28"/>
        </w:rPr>
      </w:pPr>
    </w:p>
    <w:p w:rsidR="00F05A84" w:rsidRDefault="00F05A84">
      <w:pPr>
        <w:pBdr>
          <w:top w:val="nil"/>
          <w:left w:val="nil"/>
          <w:bottom w:val="nil"/>
          <w:right w:val="nil"/>
          <w:between w:val="nil"/>
        </w:pBdr>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shd w:val="clear" w:color="auto" w:fill="FFFFFF"/>
        <w:ind w:left="4820"/>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Додаток 1</w:t>
      </w:r>
    </w:p>
    <w:p w:rsidR="00F05A84" w:rsidRDefault="00A16343">
      <w:pPr>
        <w:pBdr>
          <w:top w:val="nil"/>
          <w:left w:val="nil"/>
          <w:bottom w:val="nil"/>
          <w:right w:val="nil"/>
          <w:between w:val="nil"/>
        </w:pBdr>
        <w:ind w:left="482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lastRenderedPageBreak/>
        <w:t>до Програми розвитку, функціонування</w:t>
      </w:r>
    </w:p>
    <w:p w:rsidR="00F05A84" w:rsidRDefault="00A16343">
      <w:pPr>
        <w:pBdr>
          <w:top w:val="nil"/>
          <w:left w:val="nil"/>
          <w:bottom w:val="nil"/>
          <w:right w:val="nil"/>
          <w:between w:val="nil"/>
        </w:pBdr>
        <w:ind w:left="482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та фінансової підтримки Комунального </w:t>
      </w:r>
    </w:p>
    <w:p w:rsidR="00F05A84" w:rsidRDefault="00A16343">
      <w:pPr>
        <w:pBdr>
          <w:top w:val="nil"/>
          <w:left w:val="nil"/>
          <w:bottom w:val="nil"/>
          <w:right w:val="nil"/>
          <w:between w:val="nil"/>
        </w:pBdr>
        <w:ind w:left="482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некомерційного підприємства </w:t>
      </w:r>
    </w:p>
    <w:p w:rsidR="00F05A84" w:rsidRDefault="00A16343">
      <w:pPr>
        <w:pBdr>
          <w:top w:val="nil"/>
          <w:left w:val="nil"/>
          <w:bottom w:val="nil"/>
          <w:right w:val="nil"/>
          <w:between w:val="nil"/>
        </w:pBdr>
        <w:ind w:left="482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«Центр соціальних служб» </w:t>
      </w:r>
    </w:p>
    <w:p w:rsidR="00F05A84" w:rsidRDefault="00A16343">
      <w:pPr>
        <w:pBdr>
          <w:top w:val="nil"/>
          <w:left w:val="nil"/>
          <w:bottom w:val="nil"/>
          <w:right w:val="nil"/>
          <w:between w:val="nil"/>
        </w:pBdr>
        <w:ind w:left="4820"/>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Боярської міської ради на 2024 рік</w:t>
      </w:r>
    </w:p>
    <w:p w:rsidR="00F05A84" w:rsidRDefault="00F05A84">
      <w:pPr>
        <w:pBdr>
          <w:top w:val="nil"/>
          <w:left w:val="nil"/>
          <w:bottom w:val="nil"/>
          <w:right w:val="nil"/>
          <w:between w:val="nil"/>
        </w:pBdr>
        <w:ind w:left="4820"/>
        <w:rPr>
          <w:rFonts w:ascii="Times New Roman" w:eastAsia="Times New Roman" w:hAnsi="Times New Roman" w:cs="Times New Roman"/>
          <w:i/>
          <w:sz w:val="28"/>
          <w:szCs w:val="28"/>
        </w:rPr>
      </w:pPr>
    </w:p>
    <w:p w:rsidR="00F05A84" w:rsidRDefault="00F05A84">
      <w:pPr>
        <w:pBdr>
          <w:top w:val="nil"/>
          <w:left w:val="nil"/>
          <w:bottom w:val="nil"/>
          <w:right w:val="nil"/>
          <w:between w:val="nil"/>
        </w:pBdr>
        <w:ind w:left="4820"/>
        <w:rPr>
          <w:rFonts w:ascii="Times New Roman" w:eastAsia="Times New Roman" w:hAnsi="Times New Roman" w:cs="Times New Roman"/>
          <w:i/>
          <w:sz w:val="28"/>
          <w:szCs w:val="28"/>
        </w:rPr>
      </w:pPr>
    </w:p>
    <w:p w:rsidR="00F05A84" w:rsidRDefault="00A16343">
      <w:pPr>
        <w:spacing w:before="240"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ФІНАНСОВИЙ  ПЛАН НА 2024 рік</w:t>
      </w:r>
    </w:p>
    <w:p w:rsidR="00F05A84" w:rsidRDefault="00A16343">
      <w:pPr>
        <w:spacing w:before="240"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КОМУНАЛЬНОГО НЕКОМЕРЦІЙНОГО ПІДПРИЄМСТВА</w:t>
      </w:r>
    </w:p>
    <w:p w:rsidR="00F05A84" w:rsidRDefault="00A16343">
      <w:pPr>
        <w:pBdr>
          <w:top w:val="nil"/>
          <w:left w:val="nil"/>
          <w:bottom w:val="nil"/>
          <w:right w:val="nil"/>
          <w:between w:val="nil"/>
        </w:pBdr>
        <w:jc w:val="center"/>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 xml:space="preserve"> «ЦЕНТР СОЦІАЛЬНИХ СЛУЖБ» БОЯРСЬКОЇ МІСЬКОЇ РАДИ</w:t>
      </w:r>
    </w:p>
    <w:p w:rsidR="00F05A84" w:rsidRDefault="00F05A84">
      <w:pPr>
        <w:ind w:left="4820"/>
        <w:rPr>
          <w:rFonts w:ascii="Times New Roman" w:eastAsia="Times New Roman" w:hAnsi="Times New Roman" w:cs="Times New Roman"/>
          <w:i/>
          <w:sz w:val="28"/>
          <w:szCs w:val="28"/>
        </w:rPr>
      </w:pPr>
    </w:p>
    <w:tbl>
      <w:tblPr>
        <w:tblStyle w:val="afd"/>
        <w:tblW w:w="10305" w:type="dxa"/>
        <w:tblInd w:w="-480" w:type="dxa"/>
        <w:tblBorders>
          <w:top w:val="nil"/>
          <w:left w:val="nil"/>
          <w:bottom w:val="nil"/>
          <w:right w:val="nil"/>
          <w:insideH w:val="nil"/>
          <w:insideV w:val="nil"/>
        </w:tblBorders>
        <w:tblLayout w:type="fixed"/>
        <w:tblLook w:val="0600" w:firstRow="0" w:lastRow="0" w:firstColumn="0" w:lastColumn="0" w:noHBand="1" w:noVBand="1"/>
      </w:tblPr>
      <w:tblGrid>
        <w:gridCol w:w="8490"/>
        <w:gridCol w:w="1815"/>
      </w:tblGrid>
      <w:tr w:rsidR="00F05A84">
        <w:trPr>
          <w:trHeight w:val="269"/>
        </w:trPr>
        <w:tc>
          <w:tcPr>
            <w:tcW w:w="84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Заробітна плата (КЕКВ 2111) (на 14 штатних одиниць)</w:t>
            </w:r>
          </w:p>
        </w:tc>
        <w:tc>
          <w:tcPr>
            <w:tcW w:w="181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Заробітна плата</w:t>
            </w:r>
          </w:p>
        </w:tc>
        <w:tc>
          <w:tcPr>
            <w:tcW w:w="1815"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3095209,00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3095209,00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Нарахування на оплату праці (КЕКВ 2120)</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Нарахування на оплату праці</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680946,00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680946,00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Товари малоцінні (КЕКВ 2210)</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Канцелярія, матеріали, засоби захисту та дезінфекції, госптовари</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50000,00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50000,00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Послуги та роботи (КЕКВ 2240)</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Послуги (програми, зв’язок, обслуг техніки)</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50000,00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50000,00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Оплата теплопостачання 2271</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Теплопостачання</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83000,00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83000,00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Електроенергія 2273</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Оплата електроенергії</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60000,00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60000,00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Вода та водовідведення 2272</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Оплата за воду та водовідведення</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10000,00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10000,00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Оплата вивезення сміття 2275</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Оплата за вивіз сміття</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10000,00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10000,00</w:t>
            </w:r>
          </w:p>
        </w:tc>
      </w:tr>
      <w:tr w:rsidR="00F05A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ЗАГАЛЬНА СУМА</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F05A84" w:rsidRDefault="00A16343">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4 039 155,00</w:t>
            </w:r>
          </w:p>
        </w:tc>
      </w:tr>
    </w:tbl>
    <w:p w:rsidR="00F05A84" w:rsidRDefault="00F05A84">
      <w:pPr>
        <w:pBdr>
          <w:top w:val="nil"/>
          <w:left w:val="nil"/>
          <w:bottom w:val="nil"/>
          <w:right w:val="nil"/>
          <w:between w:val="nil"/>
        </w:pBdr>
        <w:ind w:left="4820"/>
        <w:rPr>
          <w:rFonts w:ascii="Times New Roman" w:eastAsia="Times New Roman" w:hAnsi="Times New Roman" w:cs="Times New Roman"/>
          <w:i/>
          <w:sz w:val="28"/>
          <w:szCs w:val="28"/>
        </w:rPr>
      </w:pPr>
    </w:p>
    <w:p w:rsidR="00F05A84" w:rsidRDefault="00F05A84">
      <w:pPr>
        <w:pBdr>
          <w:top w:val="nil"/>
          <w:left w:val="nil"/>
          <w:bottom w:val="nil"/>
          <w:right w:val="nil"/>
          <w:between w:val="nil"/>
        </w:pBdr>
        <w:jc w:val="both"/>
        <w:rPr>
          <w:rFonts w:ascii="Times New Roman" w:eastAsia="Times New Roman" w:hAnsi="Times New Roman" w:cs="Times New Roman"/>
          <w:color w:val="000000"/>
          <w:sz w:val="28"/>
          <w:szCs w:val="28"/>
        </w:rPr>
      </w:pPr>
    </w:p>
    <w:p w:rsidR="00F05A84" w:rsidRDefault="00A1634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
    <w:p w:rsidR="00F05A84" w:rsidRDefault="00A16343">
      <w:p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Заступник міського голови                                           Наталія УЛЬЯНОВА</w:t>
      </w:r>
    </w:p>
    <w:sectPr w:rsidR="00F05A84">
      <w:headerReference w:type="even" r:id="rId8"/>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343" w:rsidRDefault="00A16343">
      <w:r>
        <w:separator/>
      </w:r>
    </w:p>
  </w:endnote>
  <w:endnote w:type="continuationSeparator" w:id="0">
    <w:p w:rsidR="00A16343" w:rsidRDefault="00A1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ntiqua">
    <w:panose1 w:val="00000000000000000000"/>
    <w:charset w:val="00"/>
    <w:family w:val="roman"/>
    <w:notTrueType/>
    <w:pitch w:val="default"/>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343" w:rsidRDefault="00A16343">
      <w:r>
        <w:separator/>
      </w:r>
    </w:p>
  </w:footnote>
  <w:footnote w:type="continuationSeparator" w:id="0">
    <w:p w:rsidR="00A16343" w:rsidRDefault="00A163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A84" w:rsidRDefault="00A1634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F05A84" w:rsidRDefault="00F05A84">
    <w:pPr>
      <w:pBdr>
        <w:top w:val="nil"/>
        <w:left w:val="nil"/>
        <w:bottom w:val="nil"/>
        <w:right w:val="nil"/>
        <w:between w:val="nil"/>
      </w:pBdr>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A84" w:rsidRDefault="00A1634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F50EA9">
      <w:rPr>
        <w:rFonts w:ascii="Times New Roman" w:eastAsia="Times New Roman" w:hAnsi="Times New Roman" w:cs="Times New Roman"/>
        <w:color w:val="000000"/>
        <w:sz w:val="24"/>
        <w:szCs w:val="24"/>
      </w:rPr>
      <w:fldChar w:fldCharType="separate"/>
    </w:r>
    <w:r w:rsidR="00F50EA9">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rsidR="00F05A84" w:rsidRDefault="00F05A84">
    <w:pPr>
      <w:pBdr>
        <w:top w:val="nil"/>
        <w:left w:val="nil"/>
        <w:bottom w:val="nil"/>
        <w:right w:val="nil"/>
        <w:between w:val="nil"/>
      </w:pBd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0468"/>
    <w:multiLevelType w:val="multilevel"/>
    <w:tmpl w:val="58A6594C"/>
    <w:lvl w:ilvl="0">
      <w:start w:val="1"/>
      <w:numFmt w:val="decimal"/>
      <w:lvlText w:val="%1."/>
      <w:lvlJc w:val="left"/>
      <w:pPr>
        <w:ind w:left="1864" w:hanging="1155"/>
      </w:pPr>
      <w:rPr>
        <w:vertAlign w:val="baseline"/>
      </w:rPr>
    </w:lvl>
    <w:lvl w:ilvl="1">
      <w:start w:val="1"/>
      <w:numFmt w:val="decimal"/>
      <w:lvlText w:val="%1.%2."/>
      <w:lvlJc w:val="left"/>
      <w:pPr>
        <w:ind w:left="1429" w:hanging="720"/>
      </w:pPr>
      <w:rPr>
        <w:vertAlign w:val="baseline"/>
      </w:rPr>
    </w:lvl>
    <w:lvl w:ilvl="2">
      <w:start w:val="1"/>
      <w:numFmt w:val="decimal"/>
      <w:lvlText w:val="%1.%2.%3."/>
      <w:lvlJc w:val="left"/>
      <w:pPr>
        <w:ind w:left="1429" w:hanging="720"/>
      </w:pPr>
      <w:rPr>
        <w:vertAlign w:val="baseline"/>
      </w:rPr>
    </w:lvl>
    <w:lvl w:ilvl="3">
      <w:start w:val="1"/>
      <w:numFmt w:val="decimal"/>
      <w:lvlText w:val="%1.%2.%3.%4."/>
      <w:lvlJc w:val="left"/>
      <w:pPr>
        <w:ind w:left="1789" w:hanging="1080"/>
      </w:pPr>
      <w:rPr>
        <w:vertAlign w:val="baseline"/>
      </w:rPr>
    </w:lvl>
    <w:lvl w:ilvl="4">
      <w:start w:val="1"/>
      <w:numFmt w:val="decimal"/>
      <w:lvlText w:val="%1.%2.%3.%4.%5."/>
      <w:lvlJc w:val="left"/>
      <w:pPr>
        <w:ind w:left="1789" w:hanging="1080"/>
      </w:pPr>
      <w:rPr>
        <w:vertAlign w:val="baseline"/>
      </w:rPr>
    </w:lvl>
    <w:lvl w:ilvl="5">
      <w:start w:val="1"/>
      <w:numFmt w:val="decimal"/>
      <w:lvlText w:val="%1.%2.%3.%4.%5.%6."/>
      <w:lvlJc w:val="left"/>
      <w:pPr>
        <w:ind w:left="2149" w:hanging="1440"/>
      </w:pPr>
      <w:rPr>
        <w:vertAlign w:val="baseline"/>
      </w:rPr>
    </w:lvl>
    <w:lvl w:ilvl="6">
      <w:start w:val="1"/>
      <w:numFmt w:val="decimal"/>
      <w:lvlText w:val="%1.%2.%3.%4.%5.%6.%7."/>
      <w:lvlJc w:val="left"/>
      <w:pPr>
        <w:ind w:left="2509" w:hanging="1800"/>
      </w:pPr>
      <w:rPr>
        <w:vertAlign w:val="baseline"/>
      </w:rPr>
    </w:lvl>
    <w:lvl w:ilvl="7">
      <w:start w:val="1"/>
      <w:numFmt w:val="decimal"/>
      <w:lvlText w:val="%1.%2.%3.%4.%5.%6.%7.%8."/>
      <w:lvlJc w:val="left"/>
      <w:pPr>
        <w:ind w:left="2509" w:hanging="1800"/>
      </w:pPr>
      <w:rPr>
        <w:vertAlign w:val="baseline"/>
      </w:rPr>
    </w:lvl>
    <w:lvl w:ilvl="8">
      <w:start w:val="1"/>
      <w:numFmt w:val="decimal"/>
      <w:lvlText w:val="%1.%2.%3.%4.%5.%6.%7.%8.%9."/>
      <w:lvlJc w:val="left"/>
      <w:pPr>
        <w:ind w:left="2869" w:hanging="2160"/>
      </w:pPr>
      <w:rPr>
        <w:vertAlign w:val="baseline"/>
      </w:rPr>
    </w:lvl>
  </w:abstractNum>
  <w:abstractNum w:abstractNumId="1" w15:restartNumberingAfterBreak="0">
    <w:nsid w:val="1C871BF5"/>
    <w:multiLevelType w:val="multilevel"/>
    <w:tmpl w:val="98A09FF8"/>
    <w:lvl w:ilvl="0">
      <w:start w:val="2"/>
      <w:numFmt w:val="decimal"/>
      <w:lvlText w:val="%1."/>
      <w:lvlJc w:val="left"/>
      <w:pPr>
        <w:ind w:left="420" w:hanging="420"/>
      </w:pPr>
      <w:rPr>
        <w:vertAlign w:val="baseline"/>
      </w:rPr>
    </w:lvl>
    <w:lvl w:ilvl="1">
      <w:start w:val="1"/>
      <w:numFmt w:val="decimal"/>
      <w:lvlText w:val="%1.%2."/>
      <w:lvlJc w:val="left"/>
      <w:pPr>
        <w:ind w:left="1438" w:hanging="719"/>
      </w:pPr>
      <w:rPr>
        <w:vertAlign w:val="baseline"/>
      </w:rPr>
    </w:lvl>
    <w:lvl w:ilvl="2">
      <w:start w:val="1"/>
      <w:numFmt w:val="decimal"/>
      <w:lvlText w:val="%1.%2.%3."/>
      <w:lvlJc w:val="left"/>
      <w:pPr>
        <w:ind w:left="2156" w:hanging="720"/>
      </w:pPr>
      <w:rPr>
        <w:vertAlign w:val="baseline"/>
      </w:rPr>
    </w:lvl>
    <w:lvl w:ilvl="3">
      <w:start w:val="1"/>
      <w:numFmt w:val="decimal"/>
      <w:lvlText w:val="%1.%2.%3.%4."/>
      <w:lvlJc w:val="left"/>
      <w:pPr>
        <w:ind w:left="3234" w:hanging="1080"/>
      </w:pPr>
      <w:rPr>
        <w:vertAlign w:val="baseline"/>
      </w:rPr>
    </w:lvl>
    <w:lvl w:ilvl="4">
      <w:start w:val="1"/>
      <w:numFmt w:val="decimal"/>
      <w:lvlText w:val="%1.%2.%3.%4.%5."/>
      <w:lvlJc w:val="left"/>
      <w:pPr>
        <w:ind w:left="3952" w:hanging="1080"/>
      </w:pPr>
      <w:rPr>
        <w:vertAlign w:val="baseline"/>
      </w:rPr>
    </w:lvl>
    <w:lvl w:ilvl="5">
      <w:start w:val="1"/>
      <w:numFmt w:val="decimal"/>
      <w:lvlText w:val="%1.%2.%3.%4.%5.%6."/>
      <w:lvlJc w:val="left"/>
      <w:pPr>
        <w:ind w:left="5030" w:hanging="1440"/>
      </w:pPr>
      <w:rPr>
        <w:vertAlign w:val="baseline"/>
      </w:rPr>
    </w:lvl>
    <w:lvl w:ilvl="6">
      <w:start w:val="1"/>
      <w:numFmt w:val="decimal"/>
      <w:lvlText w:val="%1.%2.%3.%4.%5.%6.%7."/>
      <w:lvlJc w:val="left"/>
      <w:pPr>
        <w:ind w:left="6108" w:hanging="1800"/>
      </w:pPr>
      <w:rPr>
        <w:vertAlign w:val="baseline"/>
      </w:rPr>
    </w:lvl>
    <w:lvl w:ilvl="7">
      <w:start w:val="1"/>
      <w:numFmt w:val="decimal"/>
      <w:lvlText w:val="%1.%2.%3.%4.%5.%6.%7.%8."/>
      <w:lvlJc w:val="left"/>
      <w:pPr>
        <w:ind w:left="6826" w:hanging="1800"/>
      </w:pPr>
      <w:rPr>
        <w:vertAlign w:val="baseline"/>
      </w:rPr>
    </w:lvl>
    <w:lvl w:ilvl="8">
      <w:start w:val="1"/>
      <w:numFmt w:val="decimal"/>
      <w:lvlText w:val="%1.%2.%3.%4.%5.%6.%7.%8.%9."/>
      <w:lvlJc w:val="left"/>
      <w:pPr>
        <w:ind w:left="7904" w:hanging="216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84"/>
    <w:rsid w:val="00A16343"/>
    <w:rsid w:val="00F05A84"/>
    <w:rsid w:val="00F50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641113-9296-41FB-851A-15325D8B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Звичайний"/>
    <w:pPr>
      <w:suppressAutoHyphens/>
      <w:spacing w:line="288" w:lineRule="auto"/>
      <w:ind w:leftChars="-1" w:left="-1" w:hangingChars="1" w:hanging="1"/>
      <w:textDirection w:val="btLr"/>
      <w:textAlignment w:val="top"/>
      <w:outlineLvl w:val="0"/>
    </w:pPr>
    <w:rPr>
      <w:rFonts w:ascii="Times New Roman" w:eastAsia="Times New Roman" w:hAnsi="Times New Roman"/>
      <w:position w:val="-1"/>
      <w:sz w:val="28"/>
      <w:szCs w:val="24"/>
      <w:lang w:eastAsia="uk-UA"/>
    </w:rPr>
  </w:style>
  <w:style w:type="character" w:customStyle="1" w:styleId="a5">
    <w:name w:val="Шрифт абзацу за замовчув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paragraph" w:customStyle="1" w:styleId="a8">
    <w:name w:val="Без інтервалів"/>
    <w:pPr>
      <w:suppressAutoHyphens/>
      <w:spacing w:line="1" w:lineRule="atLeast"/>
      <w:ind w:leftChars="-1" w:left="-1" w:hangingChars="1" w:hanging="1"/>
      <w:textDirection w:val="btLr"/>
      <w:textAlignment w:val="top"/>
      <w:outlineLvl w:val="0"/>
    </w:pPr>
    <w:rPr>
      <w:position w:val="-1"/>
      <w:sz w:val="22"/>
      <w:szCs w:val="22"/>
      <w:lang w:val="ru-RU" w:eastAsia="en-US"/>
    </w:rPr>
  </w:style>
  <w:style w:type="paragraph" w:customStyle="1" w:styleId="a9">
    <w:name w:val="Абзац списку"/>
    <w:basedOn w:val="a4"/>
    <w:pPr>
      <w:ind w:left="708"/>
    </w:pPr>
  </w:style>
  <w:style w:type="paragraph" w:customStyle="1" w:styleId="aa">
    <w:name w:val="Звичайний (веб)"/>
    <w:basedOn w:val="a4"/>
    <w:pPr>
      <w:spacing w:before="100" w:beforeAutospacing="1" w:after="100" w:afterAutospacing="1" w:line="240" w:lineRule="auto"/>
    </w:pPr>
    <w:rPr>
      <w:sz w:val="24"/>
      <w:lang w:val="ru-RU" w:eastAsia="ru-RU"/>
    </w:rPr>
  </w:style>
  <w:style w:type="paragraph" w:customStyle="1" w:styleId="ab">
    <w:name w:val="Текст у виносці"/>
    <w:basedOn w:val="a4"/>
    <w:pPr>
      <w:spacing w:line="240" w:lineRule="auto"/>
    </w:pPr>
    <w:rPr>
      <w:rFonts w:ascii="Tahoma" w:eastAsia="Calibri" w:hAnsi="Tahoma"/>
      <w:sz w:val="16"/>
      <w:szCs w:val="20"/>
    </w:rPr>
  </w:style>
  <w:style w:type="character" w:customStyle="1" w:styleId="ac">
    <w:name w:val="Текст у виносці Знак"/>
    <w:rPr>
      <w:rFonts w:ascii="Tahoma" w:hAnsi="Tahoma"/>
      <w:w w:val="100"/>
      <w:position w:val="-1"/>
      <w:sz w:val="16"/>
      <w:effect w:val="none"/>
      <w:vertAlign w:val="baseline"/>
      <w:cs w:val="0"/>
      <w:em w:val="none"/>
      <w:lang w:val="uk-UA" w:eastAsia="uk-UA"/>
    </w:rPr>
  </w:style>
  <w:style w:type="paragraph" w:customStyle="1" w:styleId="ad">
    <w:name w:val="Верхній колонтитул"/>
    <w:basedOn w:val="a4"/>
    <w:pPr>
      <w:spacing w:line="240" w:lineRule="auto"/>
    </w:pPr>
    <w:rPr>
      <w:rFonts w:eastAsia="Calibri"/>
      <w:sz w:val="24"/>
      <w:szCs w:val="20"/>
    </w:rPr>
  </w:style>
  <w:style w:type="character" w:customStyle="1" w:styleId="ae">
    <w:name w:val="Верхній колонтитул Знак"/>
    <w:rPr>
      <w:rFonts w:ascii="Times New Roman" w:hAnsi="Times New Roman"/>
      <w:w w:val="100"/>
      <w:position w:val="-1"/>
      <w:sz w:val="24"/>
      <w:effect w:val="none"/>
      <w:vertAlign w:val="baseline"/>
      <w:cs w:val="0"/>
      <w:em w:val="none"/>
      <w:lang w:val="uk-UA" w:eastAsia="uk-UA"/>
    </w:rPr>
  </w:style>
  <w:style w:type="paragraph" w:customStyle="1" w:styleId="af">
    <w:name w:val="Нижній колонтитул"/>
    <w:basedOn w:val="a4"/>
    <w:pPr>
      <w:spacing w:line="240" w:lineRule="auto"/>
    </w:pPr>
    <w:rPr>
      <w:rFonts w:eastAsia="Calibri"/>
      <w:sz w:val="24"/>
      <w:szCs w:val="20"/>
    </w:rPr>
  </w:style>
  <w:style w:type="character" w:customStyle="1" w:styleId="af0">
    <w:name w:val="Нижній колонтитул Знак"/>
    <w:rPr>
      <w:rFonts w:ascii="Times New Roman" w:hAnsi="Times New Roman"/>
      <w:w w:val="100"/>
      <w:position w:val="-1"/>
      <w:sz w:val="24"/>
      <w:effect w:val="none"/>
      <w:vertAlign w:val="baseline"/>
      <w:cs w:val="0"/>
      <w:em w:val="none"/>
      <w:lang w:val="uk-UA" w:eastAsia="uk-UA"/>
    </w:rPr>
  </w:style>
  <w:style w:type="character" w:customStyle="1" w:styleId="af1">
    <w:name w:val="Номер сторінки"/>
    <w:rPr>
      <w:w w:val="100"/>
      <w:position w:val="-1"/>
      <w:effect w:val="none"/>
      <w:vertAlign w:val="baseline"/>
      <w:cs w:val="0"/>
      <w:em w:val="none"/>
    </w:rPr>
  </w:style>
  <w:style w:type="table" w:customStyle="1" w:styleId="af2">
    <w:name w:val="Сітка таблиці"/>
    <w:basedOn w:val="a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Виділення"/>
    <w:rPr>
      <w:i/>
      <w:w w:val="100"/>
      <w:position w:val="-1"/>
      <w:effect w:val="none"/>
      <w:vertAlign w:val="baseline"/>
      <w:cs w:val="0"/>
      <w:em w:val="none"/>
    </w:rPr>
  </w:style>
  <w:style w:type="paragraph" w:customStyle="1" w:styleId="HTML">
    <w:name w:val="Стандартний HTML"/>
    <w:basedOn w:val="a4"/>
    <w:pPr>
      <w:spacing w:line="240" w:lineRule="auto"/>
    </w:pPr>
    <w:rPr>
      <w:rFonts w:ascii="Courier New" w:eastAsia="Calibri" w:hAnsi="Courier New"/>
      <w:sz w:val="20"/>
      <w:szCs w:val="20"/>
    </w:rPr>
  </w:style>
  <w:style w:type="character" w:customStyle="1" w:styleId="HTML0">
    <w:name w:val="Стандартний HTML Знак"/>
    <w:rPr>
      <w:rFonts w:ascii="Courier New" w:hAnsi="Courier New"/>
      <w:w w:val="100"/>
      <w:position w:val="-1"/>
      <w:effect w:val="none"/>
      <w:vertAlign w:val="baseline"/>
      <w:cs w:val="0"/>
      <w:em w:val="none"/>
    </w:rPr>
  </w:style>
  <w:style w:type="paragraph" w:customStyle="1" w:styleId="af4">
    <w:name w:val="Нормальний текст"/>
    <w:basedOn w:val="a4"/>
    <w:pPr>
      <w:spacing w:before="120" w:line="240" w:lineRule="auto"/>
      <w:ind w:firstLine="567"/>
    </w:pPr>
    <w:rPr>
      <w:rFonts w:ascii="Antiqua" w:hAnsi="Antiqua"/>
      <w:sz w:val="26"/>
      <w:szCs w:val="20"/>
      <w:lang w:eastAsia="ru-RU"/>
    </w:rPr>
  </w:style>
  <w:style w:type="paragraph" w:customStyle="1" w:styleId="af5">
    <w:name w:val="Основний текст з відступом"/>
    <w:basedOn w:val="a4"/>
    <w:qFormat/>
    <w:pPr>
      <w:spacing w:line="240" w:lineRule="auto"/>
      <w:ind w:firstLine="709"/>
      <w:jc w:val="both"/>
    </w:pPr>
    <w:rPr>
      <w:szCs w:val="28"/>
    </w:rPr>
  </w:style>
  <w:style w:type="character" w:customStyle="1" w:styleId="af6">
    <w:name w:val="Основний текст з відступом Знак"/>
    <w:rPr>
      <w:rFonts w:ascii="Times New Roman" w:eastAsia="Times New Roman" w:hAnsi="Times New Roman"/>
      <w:w w:val="100"/>
      <w:position w:val="-1"/>
      <w:sz w:val="28"/>
      <w:szCs w:val="28"/>
      <w:effect w:val="none"/>
      <w:vertAlign w:val="baseline"/>
      <w:cs w:val="0"/>
      <w:em w:val="none"/>
      <w:lang w:val="uk-UA" w:eastAsia="uk-UA"/>
    </w:rPr>
  </w:style>
  <w:style w:type="paragraph" w:customStyle="1" w:styleId="rvps2">
    <w:name w:val="rvps2"/>
    <w:basedOn w:val="a4"/>
    <w:pPr>
      <w:spacing w:before="100" w:beforeAutospacing="1" w:after="100" w:afterAutospacing="1" w:line="240" w:lineRule="auto"/>
    </w:pPr>
    <w:rPr>
      <w:sz w:val="24"/>
      <w:lang w:val="ru-RU" w:eastAsia="ru-RU"/>
    </w:rPr>
  </w:style>
  <w:style w:type="character" w:customStyle="1" w:styleId="rvts46">
    <w:name w:val="rvts46"/>
    <w:basedOn w:val="a5"/>
    <w:rPr>
      <w:w w:val="100"/>
      <w:position w:val="-1"/>
      <w:effect w:val="none"/>
      <w:vertAlign w:val="baseline"/>
      <w:cs w:val="0"/>
      <w:em w:val="none"/>
    </w:rPr>
  </w:style>
  <w:style w:type="character" w:customStyle="1" w:styleId="af7">
    <w:name w:val="Гіперпосилання"/>
    <w:qFormat/>
    <w:rPr>
      <w:color w:val="0000FF"/>
      <w:w w:val="100"/>
      <w:position w:val="-1"/>
      <w:u w:val="single"/>
      <w:effect w:val="none"/>
      <w:vertAlign w:val="baseline"/>
      <w:cs w:val="0"/>
      <w:em w:val="none"/>
    </w:rPr>
  </w:style>
  <w:style w:type="character" w:customStyle="1" w:styleId="af8">
    <w:name w:val="Без інтервалів Знак"/>
    <w:rPr>
      <w:w w:val="100"/>
      <w:position w:val="-1"/>
      <w:sz w:val="22"/>
      <w:szCs w:val="22"/>
      <w:effect w:val="none"/>
      <w:vertAlign w:val="baseline"/>
      <w:cs w:val="0"/>
      <w:em w:val="none"/>
      <w:lang w:val="ru-RU"/>
    </w:rPr>
  </w:style>
  <w:style w:type="paragraph" w:styleId="af9">
    <w:name w:val="Subtitle"/>
    <w:basedOn w:val="a"/>
    <w:next w:val="a"/>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SI3LfcA1PN56v2hmOUUnzGGg/w==">CgMxLjAyCGguZ2pkZ3hzOAByITFBVGQ4U1RkYzJoWk1QVG8xRXlWSklOOU5oOWRIbjhhNQ==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1593</Words>
  <Characters>9083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Marina_Rada</cp:lastModifiedBy>
  <cp:revision>2</cp:revision>
  <dcterms:created xsi:type="dcterms:W3CDTF">2024-05-06T08:10:00Z</dcterms:created>
  <dcterms:modified xsi:type="dcterms:W3CDTF">2024-05-06T08:10:00Z</dcterms:modified>
</cp:coreProperties>
</file>