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25" w:rsidRDefault="00517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AC6725" w:rsidRDefault="00517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організації підтримки та забезпечення функціонування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комунального підприємства «Бюро технічної інвентаризації Боярської міської ради»</w:t>
      </w:r>
    </w:p>
    <w:p w:rsidR="00AC6725" w:rsidRDefault="00AC6725">
      <w:pPr>
        <w:rPr>
          <w:rFonts w:ascii="Times New Roman" w:hAnsi="Times New Roman" w:cs="Times New Roman"/>
          <w:sz w:val="28"/>
          <w:szCs w:val="28"/>
        </w:rPr>
      </w:pPr>
    </w:p>
    <w:p w:rsidR="00AC6725" w:rsidRDefault="00517C87">
      <w:pPr>
        <w:pStyle w:val="1"/>
        <w:spacing w:beforeAutospacing="0" w:after="0" w:afterAutospacing="0" w:line="360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sz w:val="28"/>
          <w:szCs w:val="28"/>
        </w:rPr>
        <w:tab/>
      </w:r>
      <w:r>
        <w:rPr>
          <w:b w:val="0"/>
          <w:bCs w:val="0"/>
          <w:sz w:val="24"/>
          <w:szCs w:val="24"/>
        </w:rPr>
        <w:t>Відповідно до проведеного аналізу д</w:t>
      </w:r>
      <w:r>
        <w:rPr>
          <w:b w:val="0"/>
          <w:bCs w:val="0"/>
          <w:color w:val="000000"/>
          <w:sz w:val="24"/>
          <w:szCs w:val="24"/>
        </w:rPr>
        <w:t xml:space="preserve">ержавних </w:t>
      </w:r>
      <w:proofErr w:type="spellStart"/>
      <w:r>
        <w:rPr>
          <w:b w:val="0"/>
          <w:bCs w:val="0"/>
          <w:color w:val="000000"/>
          <w:sz w:val="24"/>
          <w:szCs w:val="24"/>
        </w:rPr>
        <w:t>закупівель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 УПРАВЛІННЯ КАПІТАЛЬНОГО БУДІВНИЦТВА БОЯРСЬКОЇ МІСЬКОЇ РАДИ у 2023 році було укладено </w:t>
      </w:r>
      <w:r>
        <w:rPr>
          <w:color w:val="000000"/>
          <w:sz w:val="24"/>
          <w:szCs w:val="24"/>
        </w:rPr>
        <w:t>16 договорів</w:t>
      </w:r>
      <w:r>
        <w:rPr>
          <w:b w:val="0"/>
          <w:bCs w:val="0"/>
          <w:color w:val="000000"/>
          <w:sz w:val="24"/>
          <w:szCs w:val="24"/>
        </w:rPr>
        <w:t xml:space="preserve"> на купівлю «Послуги з інженерного проектування за ДК 021:2015» на загальну суму </w:t>
      </w:r>
      <w:r>
        <w:rPr>
          <w:color w:val="000000"/>
          <w:sz w:val="24"/>
          <w:szCs w:val="24"/>
        </w:rPr>
        <w:t xml:space="preserve">4770837,55 грн. </w:t>
      </w:r>
    </w:p>
    <w:p w:rsidR="00AC6725" w:rsidRDefault="00AC6725">
      <w:pPr>
        <w:pStyle w:val="1"/>
        <w:spacing w:beforeAutospacing="0" w:after="0" w:afterAutospacing="0" w:line="360" w:lineRule="atLeast"/>
        <w:ind w:firstLine="708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</w:p>
    <w:p w:rsidR="00AC6725" w:rsidRDefault="00517C87">
      <w:pPr>
        <w:pStyle w:val="1"/>
        <w:shd w:val="clear" w:color="auto" w:fill="FFFFFF"/>
        <w:spacing w:beforeAutospacing="0" w:after="300" w:afterAutospacing="0"/>
        <w:ind w:firstLine="708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Фахівцями КП «БТІБМР» проаналізовано ко</w:t>
      </w:r>
      <w:r>
        <w:rPr>
          <w:b w:val="0"/>
          <w:bCs w:val="0"/>
          <w:color w:val="000000"/>
          <w:sz w:val="24"/>
          <w:szCs w:val="24"/>
        </w:rPr>
        <w:t>шторисну вартість послуг з інженерного проектування та з’ясовано, що питому вагу у ринковій вартості послуг складають наступні чинники: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Заробітна плата Головних інженерів проектів, сертифікованих інженерів-проектувальників та інженерів-кошторисників;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Відра</w:t>
      </w:r>
      <w:r>
        <w:rPr>
          <w:b w:val="0"/>
          <w:bCs w:val="0"/>
          <w:color w:val="000000"/>
          <w:sz w:val="24"/>
          <w:szCs w:val="24"/>
        </w:rPr>
        <w:t>хування на загальнообов'язкове державне пенсійне та соціальне страхування;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Матеріальні витрати;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Витратами на роботи, що виконуються сторонніми організаціями;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Адміністративними витратами;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Прибутком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Податками та зборами, обов’язкові платежі</w:t>
      </w:r>
    </w:p>
    <w:p w:rsidR="00AC6725" w:rsidRDefault="00517C87">
      <w:pPr>
        <w:pStyle w:val="1"/>
        <w:numPr>
          <w:ilvl w:val="0"/>
          <w:numId w:val="1"/>
        </w:numPr>
        <w:shd w:val="clear" w:color="auto" w:fill="FFFFFF"/>
        <w:spacing w:beforeAutospacing="0" w:after="30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ПДВ</w:t>
      </w:r>
    </w:p>
    <w:p w:rsidR="00AC6725" w:rsidRDefault="00517C8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КП «БТІБМР» </w:t>
      </w:r>
      <w:r>
        <w:rPr>
          <w:rFonts w:ascii="Times New Roman" w:hAnsi="Times New Roman" w:cs="Times New Roman"/>
          <w:color w:val="000000"/>
          <w:sz w:val="24"/>
          <w:szCs w:val="24"/>
        </w:rPr>
        <w:t>розробило кошторис на утримання необхідних фахівців, які мають обслуговувати виключно потреби Боярської громади у інженерному проектуванні без додаткової вартості у вигляді прибутку. Таким чином, фінансування цієї діяльності:</w:t>
      </w:r>
    </w:p>
    <w:p w:rsidR="00AC6725" w:rsidRDefault="00517C87">
      <w:pPr>
        <w:pStyle w:val="a8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може спотворити конкурентне</w:t>
      </w:r>
      <w:r>
        <w:rPr>
          <w:color w:val="000000"/>
          <w:sz w:val="24"/>
          <w:szCs w:val="24"/>
        </w:rPr>
        <w:t xml:space="preserve"> середовище так як у вартості послуг відсутній прибуток; </w:t>
      </w:r>
    </w:p>
    <w:p w:rsidR="00AC6725" w:rsidRDefault="00517C87">
      <w:pPr>
        <w:pStyle w:val="a8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 який надається громаді має ексклюзивні властивості та не може бути реалізовано у ринковому середовищі</w:t>
      </w:r>
    </w:p>
    <w:p w:rsidR="00AC6725" w:rsidRDefault="00517C87">
      <w:pPr>
        <w:pStyle w:val="a8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Бюджетні кошти які витрачаються на діяльність є інвестиціями у інфраструктурні проекти </w:t>
      </w:r>
      <w:r>
        <w:rPr>
          <w:color w:val="000000"/>
          <w:sz w:val="24"/>
          <w:szCs w:val="24"/>
        </w:rPr>
        <w:t>громади, реалізація яких належить невизначеному колу осіб, які є мешканцями громади;</w:t>
      </w:r>
    </w:p>
    <w:p w:rsidR="00AC6725" w:rsidRDefault="00517C8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чином не може буди державною допомогою.</w:t>
      </w:r>
    </w:p>
    <w:p w:rsidR="00AC6725" w:rsidRDefault="00517C8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Як наочний приклад,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ринкова вартість послуг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проектно-кошторисні роботи по реконструкції (капітального ремонту) площею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складають   1352000 грн при вартості КП «БТІБМР» 972360 грн, з яких 119880 повертаються до бюджету громади у вигляді ПДФО.</w:t>
      </w:r>
    </w:p>
    <w:p w:rsidR="00AC6725" w:rsidRDefault="00517C8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випадку затвердження ПРОГРАМИ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річні затрати на виготовлення проектних робіт можливо зменшити як мінімум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 xml:space="preserve">1360917,55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рахунок відмови КП «БТІБМР» від прибутку на ці види робіт, повернення ПДФО у розмірі 479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бюджету Боярської громади,  зменшення відповідного податку на прибуток, відсутністю ПДВ та скасування витрат на роботи, що виконуються сторонніми організа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ціями.</w:t>
      </w:r>
    </w:p>
    <w:p w:rsidR="00AC6725" w:rsidRDefault="00517C87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</w:p>
    <w:sectPr w:rsidR="00AC6725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50B8"/>
    <w:multiLevelType w:val="multilevel"/>
    <w:tmpl w:val="B8504F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714488"/>
    <w:multiLevelType w:val="multilevel"/>
    <w:tmpl w:val="B10EF22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57DB2705"/>
    <w:multiLevelType w:val="multilevel"/>
    <w:tmpl w:val="2AFAFC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25"/>
    <w:rsid w:val="00517C87"/>
    <w:rsid w:val="00A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0BE2C-C2BA-49F5-8DFC-1FCB9C53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4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F5D4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5D48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075B09"/>
    <w:pPr>
      <w:widowControl w:val="0"/>
      <w:spacing w:after="0" w:line="240" w:lineRule="auto"/>
      <w:ind w:left="511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2023-12-12T13:49:00Z</dcterms:created>
  <dcterms:modified xsi:type="dcterms:W3CDTF">2023-12-12T13:49:00Z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2023-12-01T12:06:00Z</dcterms:created>
  <dc:creator>Приазовській</dc:creator>
  <dc:description/>
  <dc:language>uk-UA</dc:language>
  <cp:lastModifiedBy/>
  <cp:lastPrinted>2023-12-12T12:21:26Z</cp:lastPrinted>
  <dcterms:modified xsi:type="dcterms:W3CDTF">2023-12-12T14:04:06Z</dcterms:modified>
  <cp:revision>3</cp:revision>
  <dc:subject/>
  <dc:title/>
</cp:coreProperties>
</file>