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68D8" w:rsidRDefault="00C20F4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ПОЯСНЮВАЛЬНА ЗАПИСКА</w:t>
      </w:r>
    </w:p>
    <w:p w14:paraId="00000002" w14:textId="77777777" w:rsidR="00B368D8" w:rsidRDefault="00C20F41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____ сесії восьмого скликання</w:t>
      </w:r>
    </w:p>
    <w:p w14:paraId="00000003" w14:textId="77777777" w:rsidR="00B368D8" w:rsidRDefault="00B36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0000004" w14:textId="77777777" w:rsidR="00B368D8" w:rsidRDefault="00C20F4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затвердження Програми компенсації пільгових перевезень окремих категорій громадян в залізничному транспорті приміського сполучення </w:t>
      </w:r>
    </w:p>
    <w:p w14:paraId="00000005" w14:textId="77777777" w:rsidR="00B368D8" w:rsidRDefault="00C20F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6"/>
          <w:szCs w:val="26"/>
        </w:rPr>
        <w:t>на 2024 рік</w:t>
      </w:r>
    </w:p>
    <w:p w14:paraId="00000006" w14:textId="77777777" w:rsidR="00B368D8" w:rsidRDefault="00B36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07" w14:textId="77777777" w:rsidR="00B368D8" w:rsidRDefault="00C20F4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Обґрунтування необхідності прийняття рішення</w:t>
      </w:r>
    </w:p>
    <w:p w14:paraId="00000008" w14:textId="77777777" w:rsidR="00B368D8" w:rsidRDefault="00C20F41">
      <w:pPr>
        <w:shd w:val="clear" w:color="auto" w:fill="FFFFFF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Законодавчою та нормативною базою для розробки Програми є Бюджетний Кодекс України, Закон України «Про автомобільний транспорт», стаття 12, 13 Закону України «Про статус ветеранів війни, гарантії їх соціального </w:t>
      </w:r>
      <w:r>
        <w:rPr>
          <w:sz w:val="28"/>
          <w:szCs w:val="28"/>
        </w:rPr>
        <w:t>захисту», стаття 6 Закону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стаття 20, 21 Закону України «Про статус і соціальний захист громадя</w:t>
      </w:r>
      <w:r>
        <w:rPr>
          <w:sz w:val="28"/>
          <w:szCs w:val="28"/>
        </w:rPr>
        <w:t>н, які постраждали внаслідок Чорнобильської катастрофи», стаття 14 Закону України «Про соціальний і правовий захист військовослужбовців та членів їх сімей», стаття 13 Закону України «Про охорону дитинства», стаття 38-1 Закону України «Про основи соціальної</w:t>
      </w:r>
      <w:r>
        <w:rPr>
          <w:sz w:val="28"/>
          <w:szCs w:val="28"/>
        </w:rPr>
        <w:t xml:space="preserve"> захищеності осіб з інвалідністю в Україні», стаття 6 Закону України «Про реабілітацію жертв репресій комуністичного тоталітарного режиму 1917-1991 років», постанов Кабінету Міністрів України від 17.05.1993 р. № 354 «Про безплатний проїзд пенсіонерів на тр</w:t>
      </w:r>
      <w:r>
        <w:rPr>
          <w:sz w:val="28"/>
          <w:szCs w:val="28"/>
        </w:rPr>
        <w:t>анспорті загального користування» та від 16.08.1994 року № 555 «Про поширення чинності постанови Кабінету Міністрів України від 17.05.1993 р. № 354»</w:t>
      </w:r>
      <w:r>
        <w:rPr>
          <w:sz w:val="28"/>
          <w:szCs w:val="28"/>
          <w:highlight w:val="white"/>
        </w:rPr>
        <w:t>.</w:t>
      </w:r>
    </w:p>
    <w:p w14:paraId="00000009" w14:textId="77777777" w:rsidR="00B368D8" w:rsidRDefault="00C20F41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Законом України від 20.12.2016 року № 1789-VIII «Про внесення змін до Бюджетного кодексу України», зокрема</w:t>
      </w:r>
      <w:r>
        <w:rPr>
          <w:sz w:val="28"/>
          <w:szCs w:val="28"/>
          <w:highlight w:val="white"/>
        </w:rPr>
        <w:t>, зі статті 102 виключено норму щодо здійснення компенсаційних виплат за пільговий проїзд окремим категоріям громадян за рахунок субвенції з державного бюджету місцевим бюджетам.</w:t>
      </w:r>
    </w:p>
    <w:p w14:paraId="0000000A" w14:textId="77777777" w:rsidR="00B368D8" w:rsidRDefault="00C20F41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Відповідно до статті 91 Бюджетного кодексу України передбачено, що видатки на</w:t>
      </w:r>
      <w:r>
        <w:rPr>
          <w:sz w:val="28"/>
          <w:szCs w:val="28"/>
          <w:highlight w:val="white"/>
        </w:rPr>
        <w:t xml:space="preserve"> компенсаційні виплати за пільговий проїзд окремим категоріям громадян можуть </w:t>
      </w:r>
      <w:proofErr w:type="spellStart"/>
      <w:r>
        <w:rPr>
          <w:sz w:val="28"/>
          <w:szCs w:val="28"/>
          <w:highlight w:val="white"/>
        </w:rPr>
        <w:t>здійснюватись</w:t>
      </w:r>
      <w:proofErr w:type="spellEnd"/>
      <w:r>
        <w:rPr>
          <w:sz w:val="28"/>
          <w:szCs w:val="28"/>
          <w:highlight w:val="white"/>
        </w:rPr>
        <w:t xml:space="preserve"> з усіх місцевих бюджетів.</w:t>
      </w:r>
    </w:p>
    <w:p w14:paraId="0000000B" w14:textId="77777777" w:rsidR="00B368D8" w:rsidRDefault="00C20F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Ситуація, що склалася, потребує врегулювання, оскільки мешканці Боярської міської територіальної громади фактично позбавлені права на піль</w:t>
      </w:r>
      <w:r>
        <w:rPr>
          <w:sz w:val="28"/>
          <w:szCs w:val="28"/>
        </w:rPr>
        <w:t>говий проїзд через відсутність фінансового ресурсу, а  ПАТ «Укрзалізниця» несе фінансові витрати через відсутність компенсаційних виплат за пільгове перевезення окремих категорій громадян.</w:t>
      </w:r>
    </w:p>
    <w:p w14:paraId="0000000C" w14:textId="77777777" w:rsidR="00B368D8" w:rsidRDefault="00B368D8">
      <w:pPr>
        <w:ind w:left="720"/>
        <w:jc w:val="both"/>
        <w:rPr>
          <w:b/>
          <w:sz w:val="28"/>
          <w:szCs w:val="28"/>
        </w:rPr>
      </w:pPr>
    </w:p>
    <w:p w14:paraId="0000000D" w14:textId="77777777" w:rsidR="00B368D8" w:rsidRDefault="00C20F4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 і шляхи її досягнення</w:t>
      </w:r>
    </w:p>
    <w:p w14:paraId="0000000E" w14:textId="77777777" w:rsidR="00B368D8" w:rsidRDefault="00C20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Метою Програми є забезпечення р</w:t>
      </w:r>
      <w:r>
        <w:rPr>
          <w:sz w:val="28"/>
          <w:szCs w:val="28"/>
        </w:rPr>
        <w:t>еалізації прав окремих категорій громадян на пільговий проїзд залізничним транспортом приміського сполучення.</w:t>
      </w:r>
    </w:p>
    <w:p w14:paraId="0000000F" w14:textId="77777777" w:rsidR="00B368D8" w:rsidRDefault="00C20F41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Основними завданнями Програми є:</w:t>
      </w:r>
    </w:p>
    <w:p w14:paraId="00000010" w14:textId="77777777" w:rsidR="00B368D8" w:rsidRDefault="00C20F41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</w:t>
      </w:r>
      <w:r>
        <w:rPr>
          <w:sz w:val="27"/>
          <w:szCs w:val="27"/>
        </w:rPr>
        <w:t xml:space="preserve">відшкодування компенсації виробничому підрозділу Київської дирекції залізничних перевезень регіональної філії </w:t>
      </w:r>
      <w:r>
        <w:rPr>
          <w:sz w:val="27"/>
          <w:szCs w:val="27"/>
        </w:rPr>
        <w:t>«Південно-Західна залізниця» ПАТ «Укрзалізниця» за перевезення окремих категорій громадян, за рахунок коштів місцевого бюджету</w:t>
      </w:r>
      <w:r>
        <w:rPr>
          <w:sz w:val="28"/>
          <w:szCs w:val="28"/>
          <w:highlight w:val="white"/>
        </w:rPr>
        <w:t>;</w:t>
      </w:r>
    </w:p>
    <w:p w14:paraId="00000011" w14:textId="77777777" w:rsidR="00B368D8" w:rsidRDefault="00C20F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- зниження соціальної напруги серед населення, якому забезпечено право на пільговий проїзд</w:t>
      </w:r>
      <w:r>
        <w:rPr>
          <w:sz w:val="28"/>
          <w:szCs w:val="28"/>
        </w:rPr>
        <w:t>.</w:t>
      </w:r>
    </w:p>
    <w:p w14:paraId="00000012" w14:textId="77777777" w:rsidR="00B368D8" w:rsidRDefault="00B368D8">
      <w:pPr>
        <w:ind w:left="720" w:right="-284"/>
        <w:jc w:val="both"/>
        <w:rPr>
          <w:sz w:val="28"/>
          <w:szCs w:val="28"/>
        </w:rPr>
      </w:pPr>
    </w:p>
    <w:p w14:paraId="00000013" w14:textId="77777777" w:rsidR="00B368D8" w:rsidRDefault="00C20F41">
      <w:pPr>
        <w:numPr>
          <w:ilvl w:val="0"/>
          <w:numId w:val="1"/>
        </w:numPr>
        <w:ind w:righ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Правові аспекти</w:t>
      </w:r>
    </w:p>
    <w:p w14:paraId="00000014" w14:textId="77777777" w:rsidR="00B368D8" w:rsidRDefault="00C20F41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Нормативно-правовими актами, що регулюють зазначене питання є:</w:t>
      </w:r>
    </w:p>
    <w:p w14:paraId="00000015" w14:textId="77777777" w:rsidR="00B368D8" w:rsidRDefault="00C20F41">
      <w:pPr>
        <w:shd w:val="clear" w:color="auto" w:fill="FFFFFF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Бюджетний Кодекс України, Закон України «Про автомобільний транспорт», Закон України «Про статус ветеранів війни, гарантії їх соціального захисту», Закон України «Про статус ветеранів військово</w:t>
      </w:r>
      <w:r>
        <w:rPr>
          <w:sz w:val="28"/>
          <w:szCs w:val="28"/>
        </w:rPr>
        <w:t>ї служби, ветеранів органів внутрішніх справ, ветеранів Національної поліції і деяких інших осіб та їх соціальний захист», Закон України «Про статус і соціальний захист громадян, які постраждали внаслідок Чорнобильської катастрофи», Закон України «Про соці</w:t>
      </w:r>
      <w:r>
        <w:rPr>
          <w:sz w:val="28"/>
          <w:szCs w:val="28"/>
        </w:rPr>
        <w:t>альний і правовий захист військовослужбовців та членів їх сімей», Закон України «Про охорону дитинства», Закон України «Про основи соціальної захищеності осіб з інвалідністю в Україні», Закон України «Про реабілітацію жертв репресій комуністичного тоталіта</w:t>
      </w:r>
      <w:r>
        <w:rPr>
          <w:sz w:val="28"/>
          <w:szCs w:val="28"/>
        </w:rPr>
        <w:t>рного режиму 1917-1991 років», постанова Кабінету Міністрів України від 17.05.1993 р. № 354 «Про безплатний проїзд пенсіонерів на транспорті загального користування» та від                          16.08.1994 року № 555 «Про поширення чинності постанови Ка</w:t>
      </w:r>
      <w:r>
        <w:rPr>
          <w:sz w:val="28"/>
          <w:szCs w:val="28"/>
        </w:rPr>
        <w:t xml:space="preserve">бінету Міністрів України від 17.05.1993 р. № 354», </w:t>
      </w:r>
      <w:r>
        <w:rPr>
          <w:sz w:val="27"/>
          <w:szCs w:val="27"/>
        </w:rPr>
        <w:t>Закон України «Про залізничний транспорт»</w:t>
      </w:r>
      <w:r>
        <w:rPr>
          <w:sz w:val="28"/>
          <w:szCs w:val="28"/>
          <w:highlight w:val="white"/>
        </w:rPr>
        <w:t>.</w:t>
      </w:r>
    </w:p>
    <w:p w14:paraId="00000016" w14:textId="77777777" w:rsidR="00B368D8" w:rsidRDefault="00B368D8">
      <w:pPr>
        <w:ind w:firstLine="709"/>
        <w:jc w:val="both"/>
        <w:rPr>
          <w:sz w:val="28"/>
          <w:szCs w:val="28"/>
        </w:rPr>
      </w:pPr>
    </w:p>
    <w:p w14:paraId="00000017" w14:textId="77777777" w:rsidR="00B368D8" w:rsidRDefault="00C20F4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Фінансово-економічне обґрунтування</w:t>
      </w:r>
    </w:p>
    <w:p w14:paraId="00000018" w14:textId="77777777" w:rsidR="00B368D8" w:rsidRDefault="00C20F41">
      <w:pPr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 xml:space="preserve">      Фінансування заходів Програми здійснюється за рахунок місцевого бюджету в межах коштів, передбачених в місцевому бюджеті</w:t>
      </w:r>
      <w:r>
        <w:rPr>
          <w:sz w:val="28"/>
          <w:szCs w:val="28"/>
        </w:rPr>
        <w:t xml:space="preserve"> на відповідний рік, виходячи з можливостей бюджету і у разі потреби, протягом року можуть </w:t>
      </w:r>
      <w:proofErr w:type="spellStart"/>
      <w:r>
        <w:rPr>
          <w:sz w:val="28"/>
          <w:szCs w:val="28"/>
        </w:rPr>
        <w:t>уточнюватись</w:t>
      </w:r>
      <w:proofErr w:type="spellEnd"/>
      <w:r>
        <w:rPr>
          <w:sz w:val="28"/>
          <w:szCs w:val="28"/>
        </w:rPr>
        <w:t>.</w:t>
      </w:r>
    </w:p>
    <w:p w14:paraId="00000019" w14:textId="77777777" w:rsidR="00B368D8" w:rsidRDefault="00C20F41">
      <w:pPr>
        <w:ind w:firstLine="566"/>
        <w:jc w:val="both"/>
        <w:rPr>
          <w:sz w:val="28"/>
          <w:szCs w:val="28"/>
          <w:highlight w:val="yellow"/>
        </w:rPr>
      </w:pPr>
      <w:bookmarkStart w:id="2" w:name="_heading=h.tthjrsauiut8" w:colFirst="0" w:colLast="0"/>
      <w:bookmarkEnd w:id="2"/>
      <w:r>
        <w:rPr>
          <w:sz w:val="28"/>
          <w:szCs w:val="28"/>
        </w:rPr>
        <w:t>В програмі на 2024 рік не передбачено збільшення видатків в порівнянні з видатками 2023 року.</w:t>
      </w:r>
    </w:p>
    <w:p w14:paraId="0000001A" w14:textId="77777777" w:rsidR="00B368D8" w:rsidRDefault="00B368D8">
      <w:pPr>
        <w:jc w:val="both"/>
        <w:rPr>
          <w:sz w:val="28"/>
          <w:szCs w:val="28"/>
        </w:rPr>
      </w:pPr>
    </w:p>
    <w:p w14:paraId="0000001B" w14:textId="77777777" w:rsidR="00B368D8" w:rsidRDefault="00C20F41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Позиція зацікавлених органів</w:t>
      </w:r>
    </w:p>
    <w:p w14:paraId="0000001C" w14:textId="77777777" w:rsidR="00B368D8" w:rsidRDefault="00C20F41">
      <w:pPr>
        <w:ind w:left="720"/>
        <w:rPr>
          <w:sz w:val="28"/>
          <w:szCs w:val="28"/>
        </w:rPr>
      </w:pPr>
      <w:r>
        <w:rPr>
          <w:sz w:val="28"/>
          <w:szCs w:val="28"/>
        </w:rPr>
        <w:t>Проект рішення не порушує і</w:t>
      </w:r>
      <w:r>
        <w:rPr>
          <w:sz w:val="28"/>
          <w:szCs w:val="28"/>
        </w:rPr>
        <w:t>нтересів інших органів.</w:t>
      </w:r>
    </w:p>
    <w:p w14:paraId="0000001D" w14:textId="77777777" w:rsidR="00B368D8" w:rsidRDefault="00B368D8">
      <w:pPr>
        <w:ind w:left="720"/>
        <w:rPr>
          <w:sz w:val="28"/>
          <w:szCs w:val="28"/>
        </w:rPr>
      </w:pPr>
    </w:p>
    <w:p w14:paraId="0000001E" w14:textId="77777777" w:rsidR="00B368D8" w:rsidRDefault="00C20F41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Регіональний аспект</w:t>
      </w:r>
    </w:p>
    <w:p w14:paraId="0000001F" w14:textId="77777777" w:rsidR="00B368D8" w:rsidRDefault="00C20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Дія цього рішення розповсюджується на територію Боярської міської територіальної громади.</w:t>
      </w:r>
    </w:p>
    <w:p w14:paraId="00000020" w14:textId="77777777" w:rsidR="00B368D8" w:rsidRDefault="00B368D8">
      <w:pPr>
        <w:ind w:firstLine="709"/>
        <w:rPr>
          <w:sz w:val="28"/>
          <w:szCs w:val="28"/>
        </w:rPr>
      </w:pPr>
    </w:p>
    <w:p w14:paraId="00000021" w14:textId="77777777" w:rsidR="00B368D8" w:rsidRDefault="00C20F41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Громадське обговорення</w:t>
      </w:r>
    </w:p>
    <w:p w14:paraId="00000022" w14:textId="77777777" w:rsidR="00B368D8" w:rsidRDefault="00C20F41">
      <w:pPr>
        <w:ind w:left="720"/>
        <w:rPr>
          <w:sz w:val="28"/>
          <w:szCs w:val="28"/>
        </w:rPr>
      </w:pPr>
      <w:r>
        <w:rPr>
          <w:sz w:val="28"/>
          <w:szCs w:val="28"/>
        </w:rPr>
        <w:t>Не підлягає громадському обговоренню</w:t>
      </w:r>
    </w:p>
    <w:p w14:paraId="00000023" w14:textId="77777777" w:rsidR="00B368D8" w:rsidRDefault="00B368D8">
      <w:pPr>
        <w:ind w:left="720"/>
        <w:rPr>
          <w:sz w:val="28"/>
          <w:szCs w:val="28"/>
        </w:rPr>
      </w:pPr>
    </w:p>
    <w:p w14:paraId="00000024" w14:textId="77777777" w:rsidR="00B368D8" w:rsidRDefault="00B368D8">
      <w:pPr>
        <w:ind w:firstLine="709"/>
        <w:jc w:val="both"/>
        <w:rPr>
          <w:b/>
          <w:sz w:val="28"/>
          <w:szCs w:val="28"/>
        </w:rPr>
      </w:pPr>
    </w:p>
    <w:p w14:paraId="00000025" w14:textId="77777777" w:rsidR="00B368D8" w:rsidRDefault="00B368D8">
      <w:pPr>
        <w:ind w:firstLine="709"/>
        <w:jc w:val="both"/>
        <w:rPr>
          <w:b/>
          <w:sz w:val="28"/>
          <w:szCs w:val="28"/>
        </w:rPr>
      </w:pPr>
    </w:p>
    <w:p w14:paraId="00000026" w14:textId="77777777" w:rsidR="00B368D8" w:rsidRDefault="00B368D8">
      <w:pPr>
        <w:ind w:firstLine="709"/>
        <w:jc w:val="both"/>
        <w:rPr>
          <w:b/>
          <w:sz w:val="28"/>
          <w:szCs w:val="28"/>
        </w:rPr>
      </w:pPr>
    </w:p>
    <w:p w14:paraId="00000027" w14:textId="77777777" w:rsidR="00B368D8" w:rsidRDefault="00C20F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управління                                                                 Ольга ПАПОЯН</w:t>
      </w:r>
    </w:p>
    <w:p w14:paraId="00000028" w14:textId="77777777" w:rsidR="00B368D8" w:rsidRDefault="00B368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sz w:val="28"/>
          <w:szCs w:val="28"/>
        </w:rPr>
      </w:pPr>
    </w:p>
    <w:p w14:paraId="00000029" w14:textId="77777777" w:rsidR="00B368D8" w:rsidRDefault="00B368D8"/>
    <w:sectPr w:rsidR="00B368D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7E88"/>
    <w:multiLevelType w:val="multilevel"/>
    <w:tmpl w:val="18E8D3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D8"/>
    <w:rsid w:val="00B368D8"/>
    <w:rsid w:val="00C2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69230-3B11-49CF-9DB7-528EF937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vt1tR4X3Sfr/L5kjGoyfUrfRDg==">CgMxLjAyCGguZ2pkZ3hzMg5oLnR0aGpyc2F1aXV0ODgAciExZ3o2dllJNWRuZjNMU1haZWY2VklSVnNJNzIzTUlYOTQ=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2023-12-11T10:30:00Z</dcterms:created>
  <dcterms:modified xsi:type="dcterms:W3CDTF">2023-12-11T10:30:00Z</dcterms:modified>
</cp:coreProperties>
</file>