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69" w:rsidRPr="00722069" w:rsidRDefault="00722069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tbl>
      <w:tblPr>
        <w:tblW w:w="9498" w:type="dxa"/>
        <w:tblInd w:w="108" w:type="dxa"/>
        <w:tblLook w:val="00A0"/>
      </w:tblPr>
      <w:tblGrid>
        <w:gridCol w:w="4678"/>
        <w:gridCol w:w="4820"/>
      </w:tblGrid>
      <w:tr w:rsidR="00722069" w:rsidRPr="00722069" w:rsidTr="00D17324">
        <w:tc>
          <w:tcPr>
            <w:tcW w:w="4678" w:type="dxa"/>
          </w:tcPr>
          <w:p w:rsidR="00722069" w:rsidRPr="00722069" w:rsidRDefault="00722069" w:rsidP="00722069">
            <w:pPr>
              <w:spacing w:after="200" w:line="276" w:lineRule="auto"/>
              <w:rPr>
                <w:rFonts w:ascii="Calibri" w:eastAsia="Calibri" w:hAnsi="Calibri" w:cs="Times New Roman"/>
                <w:lang w:val="uk-UA"/>
              </w:rPr>
            </w:pPr>
            <w:r w:rsidRPr="0072206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1430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069" w:rsidRPr="00722069" w:rsidRDefault="00722069" w:rsidP="00722069">
            <w:pPr>
              <w:spacing w:after="200" w:line="276" w:lineRule="auto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  <w:tc>
          <w:tcPr>
            <w:tcW w:w="4820" w:type="dxa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ЗАТВЕРДЖЕНО:                                                 рішення чергової </w:t>
            </w:r>
            <w:r w:rsidR="00482B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56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сесії                                                                         Боярської міської ради VII скликання                                                           </w:t>
            </w:r>
            <w:r w:rsidR="00482B86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          від 23.05.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201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р.  № </w:t>
            </w:r>
            <w:r w:rsidR="00482B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56</w:t>
            </w:r>
            <w:r w:rsidRPr="007220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/</w:t>
            </w:r>
            <w:r w:rsidR="00482B8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1995</w:t>
            </w:r>
          </w:p>
          <w:p w:rsidR="00722069" w:rsidRPr="00722069" w:rsidRDefault="00722069" w:rsidP="00722069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i/>
                <w:sz w:val="8"/>
                <w:szCs w:val="8"/>
                <w:lang w:val="uk-UA"/>
              </w:rPr>
            </w:pPr>
          </w:p>
          <w:p w:rsidR="00722069" w:rsidRPr="00722069" w:rsidRDefault="00722069" w:rsidP="00722069">
            <w:pPr>
              <w:spacing w:after="200" w:line="276" w:lineRule="auto"/>
              <w:jc w:val="right"/>
              <w:outlineLvl w:val="0"/>
              <w:rPr>
                <w:rFonts w:ascii="Calibri" w:eastAsia="Calibri" w:hAnsi="Calibri" w:cs="Times New Roman"/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  <w:p w:rsidR="00722069" w:rsidRPr="00722069" w:rsidRDefault="00722069" w:rsidP="00722069">
            <w:pPr>
              <w:tabs>
                <w:tab w:val="left" w:pos="6684"/>
              </w:tabs>
              <w:spacing w:after="200" w:line="276" w:lineRule="auto"/>
              <w:ind w:left="-4962" w:right="317"/>
              <w:jc w:val="both"/>
              <w:outlineLvl w:val="0"/>
              <w:rPr>
                <w:rFonts w:ascii="Calibri" w:eastAsia="Calibri" w:hAnsi="Calibri" w:cs="Times New Roman"/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  <w:t xml:space="preserve">Програма 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  <w:t>участі в організації та фінансуванні капітальних ремонтів житлових багатоповерхових будинків на 2019 рік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B86" w:rsidRPr="00722069" w:rsidRDefault="00482B86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 - 2019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B86" w:rsidRPr="00722069" w:rsidRDefault="00482B86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Паспорт 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3389"/>
        <w:gridCol w:w="5553"/>
      </w:tblGrid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Назва програми</w:t>
            </w:r>
          </w:p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Програма участі в організації та фінансуванні капітальних ремонтів житлових багатоповерхових будинків на 2019 рік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Підстава для розроблення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Конституція України;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«Про місцеве самоврядування в Україні»;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«Про житлово-комунальні послуги»;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«Про особливості здійснення права власності у багатоквартирному будинку»;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Рішення виконавчого комітету Боярської міської ради «Про призначення управителя багатоквартирних будинків м. Боярка»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Визначення проблеми, на розв’язання якої спрямована програма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F8082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Відсутність у повному обсязі коштів необхідних для </w:t>
            </w:r>
            <w:r w:rsidR="00F8082B"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проведення капітального </w:t>
            </w:r>
            <w:r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 ремонту </w:t>
            </w:r>
            <w:r w:rsidR="00F8082B"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r w:rsidRPr="00076C1A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багатоквартирних будинків 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Боярська міська рада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Управління інфраструктурного розвитку та житлово-комунального господарства  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Відповідальні та учасники програмних заходів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- Виконавчий комітет Боярської міської ради;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- Управитель багатоквартирних будинків           м. Боярка - комунальне підприємство «Боярське головне виробниче управління житлово-комунального господарства»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Виконавці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Управитель багатоквартирних будинків           м. Боярка - комунальне підприємство «Боярське головне виробниче управління житлово-комунального господарства»</w:t>
            </w:r>
          </w:p>
        </w:tc>
      </w:tr>
      <w:tr w:rsidR="00722069" w:rsidRPr="00482B86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F8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сприятливих умов для безпосереднього функціонува</w:t>
            </w:r>
            <w:r w:rsidR="00F808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ння  багатоквартирних будинків, </w:t>
            </w: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відкритості та прозорості у реалізації місцевої політики у сфері підтримки розвитку житлового фонду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Термін реалізації програми: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Основні джерела </w:t>
            </w: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lastRenderedPageBreak/>
              <w:t>фінансування заходів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- місцевий бюджет;</w:t>
            </w:r>
          </w:p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lastRenderedPageBreak/>
              <w:t>- інші джерела, не заборонені законодавством України (гранти, залучені кредити, тощо)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lastRenderedPageBreak/>
              <w:t>11.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Загальний   обсяг   фінансових   ресурсів,   необхідних   для    реалізації  програми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9E22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96027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1 </w:t>
            </w:r>
            <w:r w:rsidR="0028541D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  <w:t>491</w:t>
            </w:r>
            <w:r w:rsidRPr="00896027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000,00 грн.</w:t>
            </w:r>
          </w:p>
        </w:tc>
      </w:tr>
      <w:tr w:rsidR="00722069" w:rsidRPr="00722069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552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Очікувані результати виконання та звітність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Збереження та покращення житлового фонду міста</w:t>
            </w:r>
          </w:p>
        </w:tc>
      </w:tr>
      <w:tr w:rsidR="00722069" w:rsidRPr="00482B86" w:rsidTr="00D17324">
        <w:tc>
          <w:tcPr>
            <w:tcW w:w="636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Контроль за виконанням</w:t>
            </w:r>
          </w:p>
        </w:tc>
        <w:tc>
          <w:tcPr>
            <w:tcW w:w="5880" w:type="dxa"/>
            <w:shd w:val="clear" w:color="auto" w:fill="auto"/>
          </w:tcPr>
          <w:p w:rsidR="00722069" w:rsidRPr="00722069" w:rsidRDefault="00722069" w:rsidP="0072206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Постійна депутатська комісія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Постійна депутатська комісія Боярської міської Ради з п</w:t>
            </w:r>
            <w:r w:rsidR="00F8082B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итань житлово-комунального </w:t>
            </w:r>
            <w:r w:rsidRPr="00722069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господарства, енергозбереження та благоустрою міста,  заступник міського голови відповідного напрямку</w:t>
            </w:r>
          </w:p>
        </w:tc>
      </w:tr>
    </w:tbl>
    <w:p w:rsidR="00722069" w:rsidRPr="00722069" w:rsidRDefault="00722069" w:rsidP="00722069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82B" w:rsidRDefault="00F8082B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I. Загальні положення</w:t>
      </w:r>
    </w:p>
    <w:p w:rsidR="00722069" w:rsidRPr="00722069" w:rsidRDefault="00722069" w:rsidP="0072206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Однією з важливих ділянок житлово-комунальної сфери м. Боярка є утримання житлового фонду міста, що налічує 193 житлові будинки загальною площею 232,7 тис. м2, з них: 1-поверхових – 69, 2-поверхових – 71,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3-поверхових – 10, 4-поверхових – 3, 5-поверхових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10,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7,9-поверхових – 30, а також 9 гуртожитків.</w:t>
      </w:r>
    </w:p>
    <w:p w:rsidR="00722069" w:rsidRPr="005B6881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Обмеженість фінансування, незадовільний стан житлового фонду та недоліки у системі надання комунальних послуг спонукають міську владу до пошуку інших альтернативних шляхів управління даною галуззю. Зокрема, працівниками виконавчого комітету постійно проводиться інформаційно-просвітницька робота з жителями багатоквартирних будинків щодо роз’яснення їх прав та переваг під час утворення об’єднання співвласників. Хоча, в нашому місті ідея створення ОСББ не має великої підтримки у співвласників багатоквартирних будинків, але на сьогодні офіційно створено і </w:t>
      </w:r>
      <w:r w:rsidRPr="005B6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успішно  працюють  23 ОСББ та ЖБК.</w:t>
      </w:r>
    </w:p>
    <w:p w:rsidR="00722069" w:rsidRPr="00722069" w:rsidRDefault="005B6881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Закону України «Про особливості здійснення права власності у багатоквартирному будинку» та враховуючи новий Закон «Про житлово-комунальні послуги»,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</w:t>
      </w:r>
      <w:r w:rsidRPr="005B6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прийнято 09.11.2017 року та введено в дію 01 травня 2019 року, </w:t>
      </w:r>
      <w:r w:rsidR="00722069"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722069" w:rsidRPr="0072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069"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утримання та ефективної експлуатації житлового фонду, а також дотримання необхідного рівня та якості житлово-комунальних послуг населенню міста, в межах наданих повноважень, виконавчим комітетом, проведено конкурс з призначення управителя на багатоквартирні будинки,</w:t>
      </w:r>
      <w:r w:rsidR="00722069" w:rsidRPr="00722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069"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проведеного конкурсу, призначено управителя багатоквартирних будинків м. Боярка - комунальне підприємство «Боярське головне виробниче управління житл</w:t>
      </w:r>
      <w:r w:rsidR="009A6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ово-комунального господарства», яке має право проводити розрахунки з підрядними організаціями, що виконували роботи у 2018 році.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участі в організації та фінансуванні капітальних ремонтів житлових багатоповерхових будинків на 2019 рік розроблена відповідно до Законів України «Про місцеве самоврядування в Україні», «Про житлово-комунальні послуги», «Про особливості здійснення права власності у багатоквартирному будинку», на підставі рішення виконавчого комітету Боярської міської ради від 14 березня 2019 року № 12/2 «Про призначення управителя багатоквартирних будинків м. Боярка». 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II. Визначення проблем, на розв’язання яких спрямована Програма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обмеженістю бюджетних коштів, що виділяються на утримання та ефективну експлуатацію об'єктів житлово-комунального господарства, його незадовільним станом, проблеми у сфері житлово-комунального господарства необхідно вирішувати іншим шляхом, зокрема проведенням структурних реформ, що дадуть змогу створити нову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економічну модель експлуатації та розвитку житлового господарства, забезпечити його надійне і високоякісне обслуговування з врахуванням інтересів мешканців. 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«Про особливості здійснення права власності у багатоквартирному будинку» визначено особливості здійснення права власності у багатоквартирному будинку, встановлені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утримання та управління.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участі в організації та фінансуванні капітальних ремонтів житлових багатоповерхових будинків на 2019 рік сприятиме створенню механізму фінансування</w:t>
      </w:r>
      <w:r w:rsid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капітальних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багатоквартирних будинків міста і, як наслідок, збереження та покращення житлового фонду міста, стимулювання співвласників багатоквартирних житлових будинків до збереження, утримання спільного майна.</w:t>
      </w:r>
    </w:p>
    <w:p w:rsidR="00722069" w:rsidRPr="00722069" w:rsidRDefault="00722069" w:rsidP="0072206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III. Мета Програми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Головною Метою Програми є покращення рівня життя мешканців міста шляхом проведення робіт з капітального ремонту об’єктів житлового фонду міста. 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енергоефективності використання ресурсів та скорочення енергетичних витрат у житловому господарстві шляхом впровадження енергозберігаючих технологій. 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V. Механізм реалізації Програми та порядок фінансування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2069" w:rsidRPr="00F8082B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Головним розпорядником коштів Програми та контролюючим органом є виконавчий комітет Боярської міської ради. Фінансування Програми проводиться в межах бюджетних призначень на відповідний рік за кодом тимчасової класифікації видатків та кредитування місцевих бюджетів: </w:t>
      </w:r>
    </w:p>
    <w:p w:rsidR="00722069" w:rsidRPr="00F8082B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- 6090 «Інша діяльність у сфері житлово-комунального господарства».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Завдання та заходи Програми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005"/>
        <w:gridCol w:w="1606"/>
        <w:gridCol w:w="2313"/>
        <w:gridCol w:w="1224"/>
      </w:tblGrid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722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 w:rsidRPr="007220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Виконавець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Сума, </w:t>
            </w:r>
            <w:proofErr w:type="spellStart"/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тис.грн</w:t>
            </w:r>
            <w:proofErr w:type="spellEnd"/>
            <w:r w:rsidRPr="00722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5 по вул. </w:t>
            </w:r>
            <w:proofErr w:type="spellStart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Дєжньова</w:t>
            </w:r>
            <w:proofErr w:type="spellEnd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23 по </w:t>
            </w:r>
          </w:p>
          <w:p w:rsidR="00722069" w:rsidRPr="00722069" w:rsidRDefault="00722069" w:rsidP="00E1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вул. Є. Коновальця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lastRenderedPageBreak/>
              <w:t xml:space="preserve">багатоповерховому житловому будинку № 12 Родини </w:t>
            </w:r>
            <w:proofErr w:type="spellStart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Матушевських</w:t>
            </w:r>
            <w:proofErr w:type="spellEnd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Капітальний ремонт під’їздів  в багатоповерховому житловому будинку № 20 по </w:t>
            </w:r>
          </w:p>
          <w:p w:rsidR="00722069" w:rsidRPr="00722069" w:rsidRDefault="00722069" w:rsidP="00E1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вул. Волгоградська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135,00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Капітальний ремонт покрівлі  в багатоп</w:t>
            </w:r>
            <w:r w:rsidR="004C74D0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оверховому житловому будинку № 8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по вул. Громова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84,0</w:t>
            </w:r>
          </w:p>
        </w:tc>
      </w:tr>
      <w:tr w:rsidR="009E22B2" w:rsidRPr="00722069" w:rsidTr="00D17324">
        <w:tc>
          <w:tcPr>
            <w:tcW w:w="617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005" w:type="dxa"/>
            <w:shd w:val="clear" w:color="auto" w:fill="auto"/>
          </w:tcPr>
          <w:p w:rsidR="009E22B2" w:rsidRPr="00722069" w:rsidRDefault="009E22B2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Капітальний ремонт покрівлі  в багатоп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оверховому житловому будинку № 51 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по </w:t>
            </w:r>
            <w:r w:rsidR="00896027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                              </w:t>
            </w: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9E22B2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заміни силового кабелю  в багатоповерховому житловому будинку № 25 по вул. </w:t>
            </w:r>
            <w:proofErr w:type="spellStart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Білогородська</w:t>
            </w:r>
            <w:proofErr w:type="spellEnd"/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капітального ремонту цоколів фундаменту  в багатоповерховому житловому будинку № 11 по вул. Сєдова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Проведення капітального ремонту цоколів фундаменту  в багатоповерховому житловому будинку № 13 по вул. Сєдова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Проведення капітального ремонту ввідно-розподільних щитів в багатоповерховому житловому будинку № 67 по вул. Молодіжна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60,0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9E22B2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722069"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капітального ремонту внутрішньо-будинкових сантехнічних мереж в багатоповерховому житловому будинку № 26 по вул. Є. Коновальця 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150,0</w:t>
            </w:r>
          </w:p>
        </w:tc>
      </w:tr>
      <w:tr w:rsidR="009A6A4C" w:rsidRPr="00722069" w:rsidTr="00D17324">
        <w:tc>
          <w:tcPr>
            <w:tcW w:w="617" w:type="dxa"/>
            <w:shd w:val="clear" w:color="auto" w:fill="auto"/>
          </w:tcPr>
          <w:p w:rsidR="009A6A4C" w:rsidRDefault="009A6A4C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4005" w:type="dxa"/>
            <w:shd w:val="clear" w:color="auto" w:fill="auto"/>
          </w:tcPr>
          <w:p w:rsidR="009A6A4C" w:rsidRPr="00722069" w:rsidRDefault="009A6A4C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Проведення капітального ремонту</w:t>
            </w:r>
            <w:r w:rsid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у 2018 році б</w:t>
            </w:r>
            <w:r w:rsidR="00E138F1" w:rsidRP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агатоквартирних житлових будинків (заміна віконних блоків на металопластикові та відновлення укосів на сходових клітинах</w:t>
            </w:r>
            <w:r w:rsid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, за адресою: </w:t>
            </w:r>
            <w:r w:rsid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lastRenderedPageBreak/>
              <w:t>вул. Є.Коновальця,26</w:t>
            </w:r>
          </w:p>
        </w:tc>
        <w:tc>
          <w:tcPr>
            <w:tcW w:w="1606" w:type="dxa"/>
            <w:shd w:val="clear" w:color="auto" w:fill="auto"/>
          </w:tcPr>
          <w:p w:rsidR="009A6A4C" w:rsidRPr="00722069" w:rsidRDefault="0029547E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9A6A4C" w:rsidRPr="00722069" w:rsidRDefault="0029547E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9A6A4C" w:rsidRPr="00722069" w:rsidRDefault="00E138F1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</w:t>
            </w:r>
          </w:p>
        </w:tc>
      </w:tr>
      <w:tr w:rsidR="00E138F1" w:rsidRPr="00722069" w:rsidTr="00D17324">
        <w:tc>
          <w:tcPr>
            <w:tcW w:w="617" w:type="dxa"/>
            <w:shd w:val="clear" w:color="auto" w:fill="auto"/>
          </w:tcPr>
          <w:p w:rsidR="00E138F1" w:rsidRDefault="00E138F1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4005" w:type="dxa"/>
            <w:shd w:val="clear" w:color="auto" w:fill="auto"/>
          </w:tcPr>
          <w:p w:rsidR="00E138F1" w:rsidRDefault="00E138F1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технічного нагляду у 2018 році, по об’єкту: «Капітальний ремонт</w:t>
            </w:r>
            <w:r w:rsidRP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 багатоквартирних житлових будинків (заміна віконних блоків на металопластикові та відновлення укосів на сходових клітинах,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наступними адресами</w:t>
            </w:r>
            <w:r w:rsidRP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: </w:t>
            </w:r>
          </w:p>
          <w:p w:rsidR="00E138F1" w:rsidRPr="00722069" w:rsidRDefault="00E138F1" w:rsidP="00E13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 w:rsidRPr="00E138F1"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 xml:space="preserve">вул. Є.Коновальця,26,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Молодіжна,77, Дєжньова,5 Незалежності,10, Гоголя,78, Маяковського, 2, Б.Хмельницького,113, Білогородська,25</w:t>
            </w:r>
          </w:p>
        </w:tc>
        <w:tc>
          <w:tcPr>
            <w:tcW w:w="1606" w:type="dxa"/>
            <w:shd w:val="clear" w:color="auto" w:fill="auto"/>
          </w:tcPr>
          <w:p w:rsidR="00E138F1" w:rsidRPr="00722069" w:rsidRDefault="0029547E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313" w:type="dxa"/>
            <w:shd w:val="clear" w:color="auto" w:fill="auto"/>
          </w:tcPr>
          <w:p w:rsidR="00E138F1" w:rsidRPr="00722069" w:rsidRDefault="0029547E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«БГВУЖКГ»</w:t>
            </w:r>
          </w:p>
        </w:tc>
        <w:tc>
          <w:tcPr>
            <w:tcW w:w="1224" w:type="dxa"/>
            <w:shd w:val="clear" w:color="auto" w:fill="auto"/>
          </w:tcPr>
          <w:p w:rsidR="00E138F1" w:rsidRDefault="00E138F1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10,9</w:t>
            </w:r>
          </w:p>
        </w:tc>
      </w:tr>
      <w:tr w:rsidR="00722069" w:rsidRPr="00722069" w:rsidTr="00D17324">
        <w:tc>
          <w:tcPr>
            <w:tcW w:w="617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05" w:type="dxa"/>
            <w:shd w:val="clear" w:color="auto" w:fill="auto"/>
          </w:tcPr>
          <w:p w:rsidR="00722069" w:rsidRPr="00722069" w:rsidRDefault="00722069" w:rsidP="007220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2206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 w:eastAsia="ar-SA"/>
              </w:rPr>
              <w:t>Всього:</w:t>
            </w:r>
          </w:p>
        </w:tc>
        <w:tc>
          <w:tcPr>
            <w:tcW w:w="1606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722069" w:rsidRPr="00722069" w:rsidRDefault="00722069" w:rsidP="00722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722069" w:rsidRPr="00722069" w:rsidRDefault="00722069" w:rsidP="009E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722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</w:t>
            </w:r>
            <w:r w:rsidR="002854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491</w:t>
            </w:r>
            <w:r w:rsidRPr="007220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,0</w:t>
            </w:r>
          </w:p>
        </w:tc>
      </w:tr>
    </w:tbl>
    <w:p w:rsidR="00722069" w:rsidRPr="00722069" w:rsidRDefault="00722069" w:rsidP="007220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VI. Очікувані результати від виконання Програми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Передбачається досягти в результаті виконання Програми з обґрунтуванням їх ефективності та проводиться їх оцінка з урахуванням офіційних статистичних показників найближчого від початку виконання Програми звітного року.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виконання Програми очікуються такі результати: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для мешканців багатоквартирних будинків: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 поліпшення якості умов проживання; 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поліпшення технічного стану багатоповерхових будинків та умов проживання у них;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цільове та раціональне використання коштів мешканців на утримання, ремонт, тощо, житлових будинків;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контроль за якістю ремонтних робіт у будинках;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для органів місцевого самоврядування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реалізація місцевої політики щодо регіонального розвитку у сфері житлово-комунального господарства;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поліпшення фізичного стану житлового фонду міста у цілому;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впровадження заходів з енергозбереження у житлових будинках, економне використання теплової енергії в умовах подальшого підвищення вартості енергоносіїв;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прозорого механізму взаємодії між виконавчими органами міської ради, підприємствами та громадськістю, спрямованого на вирішення проблемних питань у сфері житлово-комунального господарства.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сприятиме управителю до економії ресурсів, своєчасного </w:t>
      </w:r>
      <w:r w:rsid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капітального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ремонту багатоквартирних будинків та </w:t>
      </w:r>
      <w:r w:rsid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утримання їх у </w:t>
      </w:r>
      <w:r w:rsidR="00F80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належному стані. 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результаті збільшиться привабливість саме цієї форми господарювання у  багатоповерхових будинках м. Боярка.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hd w:val="clear" w:color="auto" w:fill="FFFFFF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Розділ 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VI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220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 w:rsidRPr="007220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Постійна депутатська комісія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Постійна депутатська комісія Боярської міської Ради з питань житлово-комунального господарства, енергозбереження та благоустрою міста, </w:t>
      </w:r>
      <w:r w:rsidR="00F808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управління інфраструктурного розвитку та житлово-комунального господарства.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Головним розпорядником бюджетних коштів та відповідальним виконавцем Програми  виступає виконавчий комітет Боярської міської ради.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Отримувач бюджетних коштів: Комунальне підприємство «Боярське головне виробниче управління житлово-комунального господарства».</w:t>
      </w:r>
    </w:p>
    <w:p w:rsidR="00722069" w:rsidRPr="00722069" w:rsidRDefault="00722069" w:rsidP="007220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7220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7220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 </w:t>
      </w: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</w:t>
      </w:r>
    </w:p>
    <w:p w:rsidR="00BF766D" w:rsidRDefault="00722069" w:rsidP="00722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інфраструктурного розвитку та ЖКГ                                          М. САВЧУК</w:t>
      </w: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547E" w:rsidRDefault="0029547E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6881" w:rsidRDefault="005B6881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ПОЯСНЮВАЛЬНА ЗАПИСКА </w:t>
      </w:r>
    </w:p>
    <w:p w:rsidR="005B6881" w:rsidRDefault="005B6881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 проекту рішення «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затвердження Програми участі 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організації та фінансуванні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капітальних 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ремо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нтів житлових багатоповерхових </w:t>
      </w:r>
      <w:r w:rsidRPr="005B6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будинків на 2019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B6881" w:rsidRPr="005B6881" w:rsidRDefault="005B6881" w:rsidP="005B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5277" w:rsidRPr="00375277" w:rsidRDefault="00375277" w:rsidP="00375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Закону України «Про особливості здійснення права власності у багатоквартирному будинку», керуючись Порядком проведення конкурсу з призначення управителя багатоквартирного будинку, затвердженого Наказом Міністерства регіонального розвитку, будівництва та житлово-комунального господарства України від 13.06.2016 № 150, Рішенням виконавчого Боярської міської ради від 14 березня 2019 року № 12/2 «Про призначення управителя багатоквартирних будинків м. Боярка», призначено управителя багатоквартирних будинків м. Боярка - комунальне підприємство «Боярське головне виробниче управління житлово-комунального господарства» на багатоквартирні будинки,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будинком.</w:t>
      </w:r>
    </w:p>
    <w:p w:rsidR="00375277" w:rsidRPr="00375277" w:rsidRDefault="00375277" w:rsidP="00375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Також, 01 травня 2019 року було введено в дію новий Закон «Про житлово-комунальні послуги», згідно якого внесені зміни до Закону України «Про місцеве самоврядування в Україні», а саме: до відання виконавчих органів сільських, селищних, міських рад належить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«участь в організації та фінансуванні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капітальних ремонтів житлових будинків, капітальних ремонтів майна,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що перебуває у спільній власності співвласників багатоквартирного будинку, 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в межах бюджетних програм</w:t>
      </w:r>
      <w:r w:rsidRPr="003752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визначених за рішенням відповідної сільської, селищної, міської ради».</w:t>
      </w:r>
    </w:p>
    <w:p w:rsidR="005B6881" w:rsidRDefault="00375277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вищезазначене,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виконавчим комітетом розроблено Програму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участі в організації та фінансуванні капітальних ремонтів житлових багатоповерхових будинків на 2019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Кошти, що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спрямовуються на виконання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аної Програми, зумовлюю</w:t>
      </w:r>
      <w:r w:rsidR="000B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створення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механізму фінансування капітальних ремонтів багатоквартирних</w:t>
      </w:r>
      <w:r w:rsidR="00B87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житлових</w:t>
      </w:r>
      <w:r w:rsidRPr="00375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будинків міста і, як наслідок, збереження та покращення житлового фонду міста, стимулювання співвласників багатоквартирних житлових будинків до збереження, утримання спільного майна.</w:t>
      </w: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4D42" w:rsidRDefault="00214D42" w:rsidP="000B38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14D42" w:rsidSect="00CE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69"/>
    <w:rsid w:val="00076C1A"/>
    <w:rsid w:val="00094C50"/>
    <w:rsid w:val="000B381F"/>
    <w:rsid w:val="00214D42"/>
    <w:rsid w:val="0028541D"/>
    <w:rsid w:val="0029547E"/>
    <w:rsid w:val="00375277"/>
    <w:rsid w:val="00482B86"/>
    <w:rsid w:val="004C74D0"/>
    <w:rsid w:val="005B6881"/>
    <w:rsid w:val="00722069"/>
    <w:rsid w:val="00896027"/>
    <w:rsid w:val="009A6A4C"/>
    <w:rsid w:val="009E22B2"/>
    <w:rsid w:val="00B8754F"/>
    <w:rsid w:val="00BF766D"/>
    <w:rsid w:val="00CE7ED6"/>
    <w:rsid w:val="00D94AD8"/>
    <w:rsid w:val="00DD14E8"/>
    <w:rsid w:val="00E138F1"/>
    <w:rsid w:val="00F8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Ivan</cp:lastModifiedBy>
  <cp:revision>22</cp:revision>
  <cp:lastPrinted>2019-05-27T12:20:00Z</cp:lastPrinted>
  <dcterms:created xsi:type="dcterms:W3CDTF">2019-05-08T07:03:00Z</dcterms:created>
  <dcterms:modified xsi:type="dcterms:W3CDTF">2019-06-11T11:48:00Z</dcterms:modified>
</cp:coreProperties>
</file>