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98" w:rsidRDefault="00433698" w:rsidP="009A04B6">
      <w:pPr>
        <w:pStyle w:val="BodyText"/>
        <w:widowControl w:val="0"/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433698" w:rsidRDefault="00433698" w:rsidP="009A04B6">
      <w:pPr>
        <w:pStyle w:val="BodyText"/>
        <w:widowControl w:val="0"/>
        <w:jc w:val="center"/>
        <w:rPr>
          <w:b/>
          <w:szCs w:val="28"/>
        </w:rPr>
      </w:pPr>
      <w:r>
        <w:rPr>
          <w:b/>
          <w:szCs w:val="28"/>
        </w:rPr>
        <w:t>до проекту бюджету м. Боярка на 2017 рік</w:t>
      </w:r>
    </w:p>
    <w:p w:rsidR="00433698" w:rsidRPr="00940EE6" w:rsidRDefault="00433698" w:rsidP="00A76178">
      <w:pPr>
        <w:pStyle w:val="BodyText"/>
        <w:widowControl w:val="0"/>
        <w:jc w:val="center"/>
        <w:rPr>
          <w:b/>
          <w:sz w:val="24"/>
          <w:szCs w:val="24"/>
        </w:rPr>
      </w:pPr>
      <w:r w:rsidRPr="00940EE6">
        <w:rPr>
          <w:b/>
          <w:sz w:val="24"/>
          <w:szCs w:val="24"/>
        </w:rPr>
        <w:t>Обґрунтування</w:t>
      </w:r>
    </w:p>
    <w:p w:rsidR="00433698" w:rsidRPr="00940EE6" w:rsidRDefault="00433698" w:rsidP="00A76178">
      <w:pPr>
        <w:pStyle w:val="BodyText"/>
        <w:widowControl w:val="0"/>
        <w:jc w:val="center"/>
        <w:rPr>
          <w:b/>
          <w:sz w:val="24"/>
          <w:szCs w:val="24"/>
        </w:rPr>
      </w:pPr>
      <w:r w:rsidRPr="00940EE6">
        <w:rPr>
          <w:b/>
          <w:sz w:val="24"/>
          <w:szCs w:val="24"/>
        </w:rPr>
        <w:t>1. Природно-кліматичні умови</w:t>
      </w:r>
    </w:p>
    <w:p w:rsidR="00433698" w:rsidRPr="00940EE6" w:rsidRDefault="00433698" w:rsidP="00A76178">
      <w:pPr>
        <w:pStyle w:val="BodyText"/>
        <w:widowControl w:val="0"/>
        <w:ind w:firstLine="567"/>
        <w:jc w:val="both"/>
        <w:rPr>
          <w:sz w:val="24"/>
          <w:szCs w:val="24"/>
        </w:rPr>
      </w:pPr>
      <w:r w:rsidRPr="00940EE6">
        <w:rPr>
          <w:sz w:val="24"/>
          <w:szCs w:val="24"/>
        </w:rPr>
        <w:t xml:space="preserve">Місто розташоване у центральній частині Київської області, на межі зони змішаних лісів і лісостепу, яка умовно проходить по залізниці сполученням Київ-Фастів. Західна частина міста відноситься до Києво-Бородянського фізико-географічного району Київського Полісся, а східна – до Обухівсько-Васильківського району лісостепової області Київського плато. </w:t>
      </w:r>
    </w:p>
    <w:p w:rsidR="00433698" w:rsidRPr="00940EE6" w:rsidRDefault="00433698" w:rsidP="00A76178">
      <w:pPr>
        <w:pStyle w:val="BodyText"/>
        <w:widowControl w:val="0"/>
        <w:ind w:firstLine="567"/>
        <w:jc w:val="both"/>
        <w:rPr>
          <w:sz w:val="24"/>
          <w:szCs w:val="24"/>
        </w:rPr>
      </w:pPr>
      <w:r w:rsidRPr="00940EE6">
        <w:rPr>
          <w:sz w:val="24"/>
          <w:szCs w:val="24"/>
        </w:rPr>
        <w:t>Рельєф території рівнинний, слабохвилястий. Найбільш високі абсолютні відмітки поверхні відмічаються у північно-західній і південній частині міста – 180,0-</w:t>
      </w:r>
      <w:smartTag w:uri="urn:schemas-microsoft-com:office:smarttags" w:element="metricconverter">
        <w:smartTagPr>
          <w:attr w:name="ProductID" w:val="185,0 м"/>
        </w:smartTagPr>
        <w:r w:rsidRPr="00940EE6">
          <w:rPr>
            <w:sz w:val="24"/>
            <w:szCs w:val="24"/>
          </w:rPr>
          <w:t>185,0 м</w:t>
        </w:r>
      </w:smartTag>
      <w:r w:rsidRPr="00940EE6">
        <w:rPr>
          <w:sz w:val="24"/>
          <w:szCs w:val="24"/>
        </w:rPr>
        <w:t xml:space="preserve">. Більш низькі спостерігаються у північно-східній і південно-західній частинах, близько </w:t>
      </w:r>
      <w:smartTag w:uri="urn:schemas-microsoft-com:office:smarttags" w:element="metricconverter">
        <w:smartTagPr>
          <w:attr w:name="ProductID" w:val="165,0 м"/>
        </w:smartTagPr>
        <w:r w:rsidRPr="00940EE6">
          <w:rPr>
            <w:sz w:val="24"/>
            <w:szCs w:val="24"/>
          </w:rPr>
          <w:t>165,0 м</w:t>
        </w:r>
      </w:smartTag>
      <w:r w:rsidRPr="00940EE6">
        <w:rPr>
          <w:sz w:val="24"/>
          <w:szCs w:val="24"/>
        </w:rPr>
        <w:t>.</w:t>
      </w:r>
    </w:p>
    <w:p w:rsidR="00433698" w:rsidRPr="00940EE6" w:rsidRDefault="00433698" w:rsidP="00A76178">
      <w:pPr>
        <w:pStyle w:val="BodyText"/>
        <w:widowControl w:val="0"/>
        <w:ind w:firstLine="567"/>
        <w:jc w:val="both"/>
        <w:rPr>
          <w:sz w:val="24"/>
          <w:szCs w:val="24"/>
        </w:rPr>
      </w:pPr>
      <w:r w:rsidRPr="00940EE6">
        <w:rPr>
          <w:sz w:val="24"/>
          <w:szCs w:val="24"/>
        </w:rPr>
        <w:t>Поверхневі води представлені невеликим струмком з притоками, що пересікає південну частину міста, місцева назва – р. Притвірка. У межах міста струмки зарегульовані каскадом ставків і під час весняних паводків не затоплюють прилеглі території.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Клімат території міста атлантико-континентальний з нестійкою зимою, похмурою, з частими відлигами і туманами, теплим літом.</w:t>
      </w:r>
    </w:p>
    <w:p w:rsidR="00433698" w:rsidRPr="00940EE6" w:rsidRDefault="00433698" w:rsidP="00A76178">
      <w:pPr>
        <w:pStyle w:val="BodyTextIndent2"/>
        <w:widowControl w:val="0"/>
        <w:spacing w:after="0" w:line="240" w:lineRule="auto"/>
        <w:ind w:left="0" w:firstLine="567"/>
        <w:jc w:val="both"/>
        <w:rPr>
          <w:i/>
          <w:sz w:val="24"/>
          <w:szCs w:val="24"/>
        </w:rPr>
      </w:pPr>
      <w:r w:rsidRPr="00940EE6">
        <w:rPr>
          <w:sz w:val="24"/>
          <w:szCs w:val="24"/>
        </w:rPr>
        <w:t>Необхідно відмітити сприятливість кліматичних умов для планувального освоєння території, а наявність практично кругової рози вітру сприяє комфортності аераційного режиму території.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Гідрогеологічні умови визначаються розташуванням в зоні сполучення осадових відкладів Дніпровсько-Донецької западини з кристалічними породами докембрійського кристалічного масиву.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Підземні води приурочені до різних стартиграфічних горизонтів, а практичне значення має водоносний комплекс четвертинних відкладів і водоносний горизонт Бучаксько-канівських і Сеноманських відкладів.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Водоносний горизонт є джерелом централізованого водопостачання м. Боярка.</w:t>
      </w:r>
    </w:p>
    <w:p w:rsidR="00433698" w:rsidRPr="00940EE6" w:rsidRDefault="00433698" w:rsidP="00A76178">
      <w:pPr>
        <w:pStyle w:val="Heading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40EE6">
        <w:rPr>
          <w:rFonts w:ascii="Times New Roman" w:hAnsi="Times New Roman" w:cs="Times New Roman"/>
          <w:sz w:val="24"/>
          <w:szCs w:val="24"/>
        </w:rPr>
        <w:t>2. Місце Боярки у системі розселення</w:t>
      </w:r>
    </w:p>
    <w:p w:rsidR="00433698" w:rsidRPr="00940EE6" w:rsidRDefault="00433698" w:rsidP="00A76178">
      <w:pPr>
        <w:widowControl w:val="0"/>
        <w:tabs>
          <w:tab w:val="left" w:pos="851"/>
        </w:tabs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Боярка - місто районного підпорядкування Києво-Святошинського району. Місто розташоване в південно-західному напрямку, на відстані </w:t>
      </w:r>
      <w:smartTag w:uri="urn:schemas-microsoft-com:office:smarttags" w:element="metricconverter">
        <w:smartTagPr>
          <w:attr w:name="ProductID" w:val="23 км"/>
        </w:smartTagPr>
        <w:r w:rsidRPr="00940EE6">
          <w:rPr>
            <w:lang w:val="uk-UA"/>
          </w:rPr>
          <w:t>23 км</w:t>
        </w:r>
      </w:smartTag>
      <w:r w:rsidRPr="00940EE6">
        <w:rPr>
          <w:lang w:val="uk-UA"/>
        </w:rPr>
        <w:t xml:space="preserve"> від існуючої межі м. Києва. </w:t>
      </w:r>
    </w:p>
    <w:p w:rsidR="00433698" w:rsidRPr="00940EE6" w:rsidRDefault="00433698" w:rsidP="00A76178">
      <w:pPr>
        <w:widowControl w:val="0"/>
        <w:tabs>
          <w:tab w:val="left" w:pos="851"/>
        </w:tabs>
        <w:ind w:firstLine="567"/>
        <w:jc w:val="both"/>
        <w:rPr>
          <w:lang w:val="uk-UA"/>
        </w:rPr>
      </w:pPr>
      <w:r w:rsidRPr="00940EE6">
        <w:rPr>
          <w:shd w:val="clear" w:color="auto" w:fill="FFFFFF"/>
          <w:lang w:val="uk-UA"/>
        </w:rPr>
        <w:t xml:space="preserve">Боярка має вдале географічне положення. </w:t>
      </w:r>
      <w:r w:rsidRPr="00940EE6">
        <w:rPr>
          <w:lang w:val="uk-UA"/>
        </w:rPr>
        <w:t xml:space="preserve">Зовнішні транспортні зв’язки м. Боярка з м. Києвом, приміською зоною, іншими населеними пунктами здійснюються залізничним і автомобільним транспортом. </w:t>
      </w:r>
    </w:p>
    <w:p w:rsidR="00433698" w:rsidRPr="00940EE6" w:rsidRDefault="00433698" w:rsidP="00A76178">
      <w:pPr>
        <w:widowControl w:val="0"/>
        <w:tabs>
          <w:tab w:val="left" w:pos="851"/>
        </w:tabs>
        <w:ind w:firstLine="567"/>
        <w:jc w:val="both"/>
        <w:rPr>
          <w:shd w:val="clear" w:color="auto" w:fill="FFFFFF"/>
          <w:lang w:val="uk-UA"/>
        </w:rPr>
      </w:pPr>
      <w:r w:rsidRPr="00940EE6">
        <w:rPr>
          <w:shd w:val="clear" w:color="auto" w:fill="FFFFFF"/>
          <w:lang w:val="uk-UA"/>
        </w:rPr>
        <w:t xml:space="preserve">До столиці можна дістатися залізницею за 30 хв., а автотранспортом (маршрутним таксі) за 40 хв. У напрямку Києва і назад, кожні 10-15 хв. курсують 7 маршрутів, яким можна дістатися будь-якої околиці правого берега столиці. Місто має 4 маршрути маршрутного таксі. Вартість проїзду  містом, станом на 01.01.16, становить 3 грн. 00 коп. </w:t>
      </w:r>
      <w:r w:rsidRPr="00940EE6">
        <w:rPr>
          <w:color w:val="000000"/>
          <w:lang w:val="uk-UA"/>
        </w:rPr>
        <w:t xml:space="preserve">Автотранспортний зв’язок м. Боярки із м. Києвом та населеними пунктами приміської зони забезпечується приміськими автобусними маршрутами та легковим індивідуальним транспортом. За </w:t>
      </w:r>
      <w:smartTag w:uri="urn:schemas-microsoft-com:office:smarttags" w:element="metricconverter">
        <w:smartTagPr>
          <w:attr w:name="ProductID" w:val="15 км"/>
        </w:smartTagPr>
        <w:r w:rsidRPr="00940EE6">
          <w:rPr>
            <w:color w:val="000000"/>
            <w:lang w:val="uk-UA"/>
          </w:rPr>
          <w:t>15 км</w:t>
        </w:r>
      </w:smartTag>
      <w:r w:rsidRPr="00940EE6">
        <w:rPr>
          <w:color w:val="000000"/>
          <w:lang w:val="uk-UA"/>
        </w:rPr>
        <w:t xml:space="preserve"> у північному напрямі від Боярки розташовано аеропорт «Жуляни», що створює додаткові переваги для транспортного забезпечення міста. </w:t>
      </w:r>
    </w:p>
    <w:p w:rsidR="00433698" w:rsidRPr="00940EE6" w:rsidRDefault="00433698" w:rsidP="00A76178">
      <w:pPr>
        <w:widowControl w:val="0"/>
        <w:tabs>
          <w:tab w:val="left" w:pos="851"/>
        </w:tabs>
        <w:ind w:firstLine="567"/>
        <w:jc w:val="both"/>
        <w:rPr>
          <w:lang w:val="uk-UA"/>
        </w:rPr>
      </w:pPr>
      <w:r w:rsidRPr="00940EE6">
        <w:rPr>
          <w:shd w:val="clear" w:color="auto" w:fill="FFFFFF"/>
          <w:lang w:val="uk-UA"/>
        </w:rPr>
        <w:t>Місто межує з Одеською трасою, має одну залізничну станцію Боярка і зупиночну платформу Тарасівка. На станції «Боярка» зупиняються електропоїзди підвищеного комфорту далекого прямування, і приміські електропоїзди. Наявні 5 відділень зв'язку, в одному з яких розташований переговорний пункт, з якого можна подзвонити до будь-якої точки земної кулі. Відділення зв'язку повною мірою забезпечують потреби населення.</w:t>
      </w:r>
    </w:p>
    <w:p w:rsidR="00433698" w:rsidRPr="00940EE6" w:rsidRDefault="00433698" w:rsidP="00A76178">
      <w:pPr>
        <w:widowControl w:val="0"/>
        <w:tabs>
          <w:tab w:val="left" w:pos="851"/>
        </w:tabs>
        <w:ind w:firstLine="567"/>
        <w:jc w:val="both"/>
        <w:rPr>
          <w:color w:val="000000"/>
          <w:lang w:val="uk-UA"/>
        </w:rPr>
      </w:pPr>
      <w:r w:rsidRPr="00940EE6">
        <w:rPr>
          <w:lang w:val="uk-UA"/>
        </w:rPr>
        <w:t xml:space="preserve">Через місто проходить магістральна електрифікована двоколійна залізнична дорога Київ-Вишневе-Фастів, яка розділяє місто на дві </w:t>
      </w:r>
      <w:r w:rsidRPr="00940EE6">
        <w:rPr>
          <w:color w:val="000000"/>
          <w:lang w:val="uk-UA"/>
        </w:rPr>
        <w:t>частини, і є складовою частиною одного з головних вантажонапружених транспортних зв’язків країни: Хутір-Михайлівський - Київ (Дарниця) - Жмеринка - Одеса.</w:t>
      </w:r>
    </w:p>
    <w:p w:rsidR="00433698" w:rsidRPr="00940EE6" w:rsidRDefault="00433698" w:rsidP="00A76178">
      <w:pPr>
        <w:widowControl w:val="0"/>
        <w:tabs>
          <w:tab w:val="left" w:pos="851"/>
        </w:tabs>
        <w:ind w:firstLine="567"/>
        <w:jc w:val="both"/>
        <w:rPr>
          <w:lang w:val="uk-UA"/>
        </w:rPr>
      </w:pPr>
      <w:r w:rsidRPr="00940EE6">
        <w:rPr>
          <w:shd w:val="clear" w:color="auto" w:fill="FFFFFF"/>
          <w:lang w:val="uk-UA"/>
        </w:rPr>
        <w:t>Залізниця розділяє місто на дві частини: Південно-східна частина (історична частина міста) - це житловий сектор приватної забудови (близько 7 тис. житлових будинків); Північно-західна частина (Нова Боярка) - більше 30 багатоквартирних будинків і приватний сектор.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Близькість м. Боярки до м. Києва та зручні транспортні зв’язки з ним є причиною того, що місто в значній мірі виконує роль спального району Києва, оскільки з Боярки в м. Київ мають місце значні трудові потоки.</w:t>
      </w:r>
    </w:p>
    <w:p w:rsidR="00433698" w:rsidRPr="00940EE6" w:rsidRDefault="00433698" w:rsidP="00A76178">
      <w:pPr>
        <w:pStyle w:val="BodyText"/>
        <w:widowControl w:val="0"/>
        <w:ind w:firstLine="567"/>
        <w:jc w:val="both"/>
        <w:rPr>
          <w:sz w:val="24"/>
          <w:szCs w:val="24"/>
        </w:rPr>
      </w:pPr>
      <w:r w:rsidRPr="00940EE6">
        <w:rPr>
          <w:sz w:val="24"/>
          <w:szCs w:val="24"/>
        </w:rPr>
        <w:t xml:space="preserve">У той же час Боярка відіграє роль місцевого центру розселення: в зоні її впливу знаходяться села Тарасівка, Юрівка, Віта-Поштова, Забір’я, Білогородка, Бобриця, Жорнівка, Княжичі. Загальна кількість жителів, разом з Бояркою, складає понад 70 тис. осіб. 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Боярка знаходиться в межах територій, де значною мірою проявляється вплив столичного чинника на масштаби і характер використання земель, трудових та інших ресурсів.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На території міста розміщено ряд установ загальнодержавного, обласного та районного значення.</w:t>
      </w:r>
    </w:p>
    <w:p w:rsidR="00433698" w:rsidRPr="00940EE6" w:rsidRDefault="00433698" w:rsidP="00A76178">
      <w:pPr>
        <w:pStyle w:val="Heading2"/>
        <w:widowControl w:val="0"/>
        <w:spacing w:before="0" w:beforeAutospacing="0" w:after="0" w:afterAutospacing="0"/>
        <w:ind w:firstLine="567"/>
        <w:jc w:val="both"/>
        <w:rPr>
          <w:sz w:val="24"/>
          <w:szCs w:val="24"/>
          <w:lang w:val="uk-UA"/>
        </w:rPr>
      </w:pPr>
    </w:p>
    <w:p w:rsidR="00433698" w:rsidRPr="00940EE6" w:rsidRDefault="00433698" w:rsidP="00A76178">
      <w:pPr>
        <w:pStyle w:val="Heading2"/>
        <w:widowControl w:val="0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940EE6">
        <w:rPr>
          <w:sz w:val="24"/>
          <w:szCs w:val="24"/>
          <w:lang w:val="uk-UA"/>
        </w:rPr>
        <w:t>3. Інженерно-будівельна оцінка території</w:t>
      </w:r>
    </w:p>
    <w:p w:rsidR="00433698" w:rsidRPr="00940EE6" w:rsidRDefault="00433698" w:rsidP="00A76178">
      <w:pPr>
        <w:pStyle w:val="BodyTextIndent2"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433698" w:rsidRPr="00940EE6" w:rsidRDefault="00433698" w:rsidP="00EF6BDE">
      <w:pPr>
        <w:pStyle w:val="BodyTextIndent2"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940EE6">
        <w:rPr>
          <w:sz w:val="24"/>
          <w:szCs w:val="24"/>
        </w:rPr>
        <w:t>Згідно карти інженерно-геологічного районування території України м. Боярка розташоване в межах території з незначною складністю інженерно-геологічних умов освоєння.</w:t>
      </w:r>
    </w:p>
    <w:p w:rsidR="00433698" w:rsidRPr="00940EE6" w:rsidRDefault="00433698" w:rsidP="00EF6BDE">
      <w:pPr>
        <w:pStyle w:val="BodyTextIndent2"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940EE6">
        <w:rPr>
          <w:sz w:val="24"/>
          <w:szCs w:val="24"/>
        </w:rPr>
        <w:t>Відповідно СНиП ІІ-28-73 підземні води по відношенню до бетону не мають агресивності.</w:t>
      </w:r>
    </w:p>
    <w:p w:rsidR="00433698" w:rsidRPr="00940EE6" w:rsidRDefault="00433698" w:rsidP="00EF6BDE">
      <w:pPr>
        <w:pStyle w:val="BodyTextIndent2"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940EE6">
        <w:rPr>
          <w:sz w:val="24"/>
          <w:szCs w:val="24"/>
        </w:rPr>
        <w:t>У сейсмічному відношенні дана територія відноситься до несейсмічної зони (СНиП ІІ-7-81).</w:t>
      </w:r>
    </w:p>
    <w:p w:rsidR="00433698" w:rsidRPr="00940EE6" w:rsidRDefault="00433698" w:rsidP="00EF6BDE">
      <w:pPr>
        <w:pStyle w:val="BodyTextIndent2"/>
        <w:widowControl w:val="0"/>
        <w:spacing w:after="0" w:line="240" w:lineRule="auto"/>
        <w:ind w:left="0" w:firstLine="567"/>
        <w:jc w:val="both"/>
        <w:rPr>
          <w:sz w:val="24"/>
          <w:szCs w:val="24"/>
        </w:rPr>
      </w:pPr>
      <w:r w:rsidRPr="00940EE6">
        <w:rPr>
          <w:sz w:val="24"/>
          <w:szCs w:val="24"/>
        </w:rPr>
        <w:t>За умов складності інженерно-будівельного освоєння в межах міста виділяються:</w:t>
      </w:r>
    </w:p>
    <w:p w:rsidR="00433698" w:rsidRPr="00940EE6" w:rsidRDefault="00433698" w:rsidP="00EF6BDE">
      <w:pPr>
        <w:pStyle w:val="BodyTextIndent2"/>
        <w:widowControl w:val="0"/>
        <w:numPr>
          <w:ilvl w:val="0"/>
          <w:numId w:val="2"/>
        </w:numPr>
        <w:tabs>
          <w:tab w:val="clear" w:pos="1770"/>
          <w:tab w:val="num" w:pos="720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940EE6">
        <w:rPr>
          <w:sz w:val="24"/>
          <w:szCs w:val="24"/>
          <w:u w:val="single"/>
        </w:rPr>
        <w:t>території сприятливі для будівництва</w:t>
      </w:r>
      <w:r w:rsidRPr="00940EE6">
        <w:rPr>
          <w:sz w:val="24"/>
          <w:szCs w:val="24"/>
        </w:rPr>
        <w:t>. До них відноситься майже вся територія міста. В геоморфологічному відношенні  вона розташована в межах морено-зандрової рівнини з уклонами поверхні 0,5-8% і глибиною залягання ґрунтових вод 4,5-31,0м, непросадні і І типу просадності. Ґрунтами основ фундаментів є лесовидні суглинки, піски і супісі з розрахунковим опором 2,0-2,5 кгс/см</w:t>
      </w:r>
      <w:r w:rsidRPr="00940EE6">
        <w:rPr>
          <w:sz w:val="24"/>
          <w:szCs w:val="24"/>
          <w:vertAlign w:val="superscript"/>
        </w:rPr>
        <w:t>2</w:t>
      </w:r>
      <w:r w:rsidRPr="00940EE6">
        <w:rPr>
          <w:sz w:val="24"/>
          <w:szCs w:val="24"/>
        </w:rPr>
        <w:t>. (СНиП 2.02.01-83);</w:t>
      </w:r>
    </w:p>
    <w:p w:rsidR="00433698" w:rsidRPr="00940EE6" w:rsidRDefault="00433698" w:rsidP="00A76178">
      <w:pPr>
        <w:pStyle w:val="BodyTextIndent2"/>
        <w:widowControl w:val="0"/>
        <w:numPr>
          <w:ilvl w:val="0"/>
          <w:numId w:val="2"/>
        </w:numPr>
        <w:tabs>
          <w:tab w:val="clear" w:pos="1770"/>
          <w:tab w:val="num" w:pos="720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940EE6">
        <w:rPr>
          <w:sz w:val="24"/>
          <w:szCs w:val="24"/>
          <w:u w:val="single"/>
        </w:rPr>
        <w:t>території малосприятливі для будівництва</w:t>
      </w:r>
      <w:r w:rsidRPr="00940EE6">
        <w:rPr>
          <w:sz w:val="24"/>
          <w:szCs w:val="24"/>
        </w:rPr>
        <w:t>. Розташовані локальними ділянками на схилах долини р. Притвірки. Вони представляють собою ділянки з ухилами 8-15%. Літологічно вони подібні попереднім. До цього ж типу відносяться території з заляганням ґрунтових вод 3-</w:t>
      </w:r>
      <w:smartTag w:uri="urn:schemas-microsoft-com:office:smarttags" w:element="metricconverter">
        <w:smartTagPr>
          <w:attr w:name="ProductID" w:val="1 м"/>
        </w:smartTagPr>
        <w:r w:rsidRPr="00940EE6">
          <w:rPr>
            <w:sz w:val="24"/>
            <w:szCs w:val="24"/>
          </w:rPr>
          <w:t>1 м</w:t>
        </w:r>
      </w:smartTag>
      <w:r w:rsidRPr="00940EE6">
        <w:rPr>
          <w:sz w:val="24"/>
          <w:szCs w:val="24"/>
        </w:rPr>
        <w:t>. Таке підтоплення території</w:t>
      </w:r>
      <w:r w:rsidRPr="00940EE6">
        <w:rPr>
          <w:color w:val="800000"/>
          <w:sz w:val="24"/>
          <w:szCs w:val="24"/>
        </w:rPr>
        <w:t xml:space="preserve"> </w:t>
      </w:r>
      <w:r w:rsidRPr="00940EE6">
        <w:rPr>
          <w:sz w:val="24"/>
          <w:szCs w:val="24"/>
        </w:rPr>
        <w:t>відмічається в межах впливу р. Притвірки та в районі Боярського коледжу Національного університету біоресурсів та природокористування України Також це заболочені ділянки заплави. Розрахунковий опір ґрунтів основ фундаментів цих території складає 1,0-1,5 кгс/см</w:t>
      </w:r>
      <w:r w:rsidRPr="00940EE6">
        <w:rPr>
          <w:sz w:val="24"/>
          <w:szCs w:val="24"/>
          <w:vertAlign w:val="superscript"/>
        </w:rPr>
        <w:t>2</w:t>
      </w:r>
      <w:r w:rsidRPr="00940EE6">
        <w:rPr>
          <w:sz w:val="24"/>
          <w:szCs w:val="24"/>
        </w:rPr>
        <w:t>. При будівельному освоєнні на цих територіях необхідно проведення планувальних заходів, що вимагає додаткових капітальних затрат.</w:t>
      </w:r>
    </w:p>
    <w:p w:rsidR="00433698" w:rsidRPr="00940EE6" w:rsidRDefault="00433698" w:rsidP="00A76178">
      <w:pPr>
        <w:pStyle w:val="BodyTextIndent2"/>
        <w:widowControl w:val="0"/>
        <w:numPr>
          <w:ilvl w:val="0"/>
          <w:numId w:val="2"/>
        </w:numPr>
        <w:tabs>
          <w:tab w:val="clear" w:pos="1770"/>
          <w:tab w:val="num" w:pos="720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940EE6">
        <w:rPr>
          <w:sz w:val="24"/>
          <w:szCs w:val="24"/>
          <w:u w:val="single"/>
        </w:rPr>
        <w:t>території несприятливі для будівництва</w:t>
      </w:r>
      <w:r w:rsidRPr="00940EE6">
        <w:rPr>
          <w:sz w:val="24"/>
          <w:szCs w:val="24"/>
        </w:rPr>
        <w:t>. Це локально розташовані ділянки схилів долин струмків з ухилами більше 15%. Також як і сприятливі території вони складені лесовидними суглинками, пісками і супісями з розрахунковим опором ґрунтів основ фундаментів 2,0-2,5 кгс/см</w:t>
      </w:r>
      <w:r w:rsidRPr="00940EE6">
        <w:rPr>
          <w:sz w:val="24"/>
          <w:szCs w:val="24"/>
          <w:vertAlign w:val="superscript"/>
        </w:rPr>
        <w:t>2</w:t>
      </w:r>
      <w:r w:rsidRPr="00940EE6">
        <w:rPr>
          <w:sz w:val="24"/>
          <w:szCs w:val="24"/>
        </w:rPr>
        <w:t>. До цього ж типу відносяться днища балок, по котрим течуть струмки. Ґрунтові води тут залягають на глибині вище 1м. Складені ці території алювіальними відкладами з розрахунковим опором ґрунтів фундаментів 1,0 кгс/см</w:t>
      </w:r>
      <w:r w:rsidRPr="00940EE6">
        <w:rPr>
          <w:sz w:val="24"/>
          <w:szCs w:val="24"/>
          <w:vertAlign w:val="superscript"/>
        </w:rPr>
        <w:t>2</w:t>
      </w:r>
      <w:r w:rsidRPr="00940EE6">
        <w:rPr>
          <w:sz w:val="24"/>
          <w:szCs w:val="24"/>
        </w:rPr>
        <w:t>. При освоєнні несприятливих території необхідно проведення складних інженерно-технічних заходів</w:t>
      </w:r>
    </w:p>
    <w:p w:rsidR="00433698" w:rsidRPr="00940EE6" w:rsidRDefault="00433698" w:rsidP="00A76178">
      <w:pPr>
        <w:jc w:val="both"/>
        <w:rPr>
          <w:lang w:val="uk-UA"/>
        </w:rPr>
      </w:pPr>
    </w:p>
    <w:p w:rsidR="00433698" w:rsidRPr="00940EE6" w:rsidRDefault="00433698" w:rsidP="00A76178">
      <w:pPr>
        <w:pStyle w:val="Heading2"/>
        <w:widowControl w:val="0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940EE6">
        <w:rPr>
          <w:sz w:val="24"/>
          <w:szCs w:val="24"/>
          <w:lang w:val="uk-UA"/>
        </w:rPr>
        <w:t>4. Населення, демографічна ситуація</w:t>
      </w:r>
    </w:p>
    <w:p w:rsidR="00433698" w:rsidRPr="00940EE6" w:rsidRDefault="00433698" w:rsidP="00A76178">
      <w:pPr>
        <w:pStyle w:val="BodyText"/>
        <w:widowControl w:val="0"/>
        <w:ind w:firstLine="567"/>
        <w:jc w:val="both"/>
        <w:rPr>
          <w:sz w:val="24"/>
          <w:szCs w:val="24"/>
        </w:rPr>
      </w:pPr>
    </w:p>
    <w:p w:rsidR="00433698" w:rsidRPr="00940EE6" w:rsidRDefault="00433698" w:rsidP="00A76178">
      <w:pPr>
        <w:pStyle w:val="BodyText"/>
        <w:widowControl w:val="0"/>
        <w:ind w:firstLine="432"/>
        <w:jc w:val="both"/>
        <w:rPr>
          <w:sz w:val="24"/>
          <w:szCs w:val="24"/>
        </w:rPr>
      </w:pPr>
      <w:r w:rsidRPr="00940EE6">
        <w:rPr>
          <w:sz w:val="24"/>
          <w:szCs w:val="24"/>
        </w:rPr>
        <w:t>За чисельністю населення Боярка відноситься до малих міст України.</w:t>
      </w:r>
    </w:p>
    <w:p w:rsidR="00433698" w:rsidRPr="00940EE6" w:rsidRDefault="00433698" w:rsidP="00A76178">
      <w:pPr>
        <w:pStyle w:val="BodyTextIndent2"/>
        <w:widowControl w:val="0"/>
        <w:spacing w:after="0" w:line="240" w:lineRule="auto"/>
        <w:ind w:left="0"/>
        <w:jc w:val="both"/>
        <w:rPr>
          <w:sz w:val="24"/>
          <w:szCs w:val="24"/>
        </w:rPr>
      </w:pPr>
      <w:r w:rsidRPr="00940EE6">
        <w:rPr>
          <w:sz w:val="24"/>
          <w:szCs w:val="24"/>
        </w:rPr>
        <w:t>Відповідно до перепису населення 2001 року чисельність жителів Боярки складала  35,97 тис осіб.</w:t>
      </w:r>
    </w:p>
    <w:p w:rsidR="00433698" w:rsidRPr="00776633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Станом на 01.01</w:t>
      </w:r>
      <w:r>
        <w:rPr>
          <w:lang w:val="uk-UA"/>
        </w:rPr>
        <w:t>.</w:t>
      </w:r>
      <w:r w:rsidRPr="00940EE6">
        <w:rPr>
          <w:lang w:val="uk-UA"/>
        </w:rPr>
        <w:t>2015 року кількість жителів міста складало 35,6 тис осіб (наявне населення).</w:t>
      </w:r>
    </w:p>
    <w:p w:rsidR="00433698" w:rsidRPr="00940EE6" w:rsidRDefault="00433698" w:rsidP="00A76178">
      <w:pPr>
        <w:widowControl w:val="0"/>
        <w:ind w:firstLine="567"/>
        <w:jc w:val="both"/>
        <w:rPr>
          <w:color w:val="000000"/>
          <w:lang w:val="uk-UA"/>
        </w:rPr>
      </w:pPr>
      <w:r w:rsidRPr="00940EE6">
        <w:rPr>
          <w:lang w:val="uk-UA"/>
        </w:rPr>
        <w:t>Починаючи з 2001 року в м. Боярка, я</w:t>
      </w:r>
      <w:r w:rsidRPr="00940EE6">
        <w:rPr>
          <w:color w:val="000000"/>
          <w:lang w:val="uk-UA"/>
        </w:rPr>
        <w:t>к і в переважній більшості регіонів України, відбувалося скорочення загальної чисельності населення.</w:t>
      </w:r>
    </w:p>
    <w:p w:rsidR="00433698" w:rsidRPr="00940EE6" w:rsidRDefault="00433698" w:rsidP="00A76178">
      <w:pPr>
        <w:widowControl w:val="0"/>
        <w:ind w:firstLine="567"/>
        <w:jc w:val="both"/>
        <w:rPr>
          <w:color w:val="000000"/>
          <w:lang w:val="uk-UA"/>
        </w:rPr>
      </w:pPr>
      <w:r w:rsidRPr="00940EE6">
        <w:rPr>
          <w:color w:val="000000"/>
          <w:lang w:val="uk-UA"/>
        </w:rPr>
        <w:t>Основним фактором скорочення чисельності населення в місті виступала низька народжуваність (хоча рівень її в останні роки порівняно вищий, ніж в Україні та Київській області)  та висока смертність.</w:t>
      </w:r>
    </w:p>
    <w:p w:rsidR="00433698" w:rsidRPr="00940EE6" w:rsidRDefault="00433698" w:rsidP="00A76178">
      <w:pPr>
        <w:widowControl w:val="0"/>
        <w:ind w:firstLine="567"/>
        <w:jc w:val="both"/>
        <w:rPr>
          <w:color w:val="000000"/>
          <w:lang w:val="uk-UA"/>
        </w:rPr>
      </w:pPr>
      <w:r w:rsidRPr="00940EE6">
        <w:rPr>
          <w:color w:val="000000"/>
          <w:lang w:val="uk-UA"/>
        </w:rPr>
        <w:t>Міграційний баланс населення на початку XXI століття був від’ємним. Однак, в останні роки міграційний баланс є додатнім. Розташування м. Боярки в зоні впливу Києва обумовлює міграційний приток населення.</w:t>
      </w:r>
    </w:p>
    <w:p w:rsidR="00433698" w:rsidRPr="00940EE6" w:rsidRDefault="00433698" w:rsidP="00A76178">
      <w:pPr>
        <w:pStyle w:val="Heading2"/>
        <w:widowControl w:val="0"/>
        <w:spacing w:before="0" w:beforeAutospacing="0" w:after="0" w:afterAutospacing="0"/>
        <w:ind w:firstLine="567"/>
        <w:jc w:val="both"/>
        <w:rPr>
          <w:sz w:val="24"/>
          <w:szCs w:val="24"/>
          <w:lang w:val="uk-UA"/>
        </w:rPr>
      </w:pPr>
    </w:p>
    <w:p w:rsidR="00433698" w:rsidRPr="00940EE6" w:rsidRDefault="00433698" w:rsidP="00A76178">
      <w:pPr>
        <w:pStyle w:val="Heading2"/>
        <w:widowControl w:val="0"/>
        <w:spacing w:before="0" w:beforeAutospacing="0" w:after="0" w:afterAutospacing="0"/>
        <w:jc w:val="both"/>
        <w:rPr>
          <w:sz w:val="24"/>
          <w:szCs w:val="24"/>
          <w:lang w:val="uk-UA"/>
        </w:rPr>
      </w:pPr>
    </w:p>
    <w:p w:rsidR="00433698" w:rsidRDefault="00433698" w:rsidP="00A76178">
      <w:pPr>
        <w:pStyle w:val="Heading2"/>
        <w:widowControl w:val="0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940EE6">
        <w:rPr>
          <w:sz w:val="24"/>
          <w:szCs w:val="24"/>
          <w:lang w:val="uk-UA"/>
        </w:rPr>
        <w:t>5. Житловий фонд</w:t>
      </w:r>
    </w:p>
    <w:p w:rsidR="00433698" w:rsidRPr="00940EE6" w:rsidRDefault="00433698" w:rsidP="00A76178">
      <w:pPr>
        <w:pStyle w:val="Heading2"/>
        <w:widowControl w:val="0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Житловий фонд м. Боярки, за даними Головного управління статистики у Київській області, станом на 01.01.2015 року становив 825,0 тис. м</w:t>
      </w:r>
      <w:r w:rsidRPr="00940EE6">
        <w:rPr>
          <w:vertAlign w:val="superscript"/>
          <w:lang w:val="uk-UA"/>
        </w:rPr>
        <w:t xml:space="preserve">2 </w:t>
      </w:r>
      <w:r w:rsidRPr="00940EE6">
        <w:rPr>
          <w:lang w:val="uk-UA"/>
        </w:rPr>
        <w:t xml:space="preserve"> загальної площі, з яких 45 % - садибний житловий фонд</w:t>
      </w:r>
    </w:p>
    <w:p w:rsidR="00433698" w:rsidRPr="00940EE6" w:rsidRDefault="00433698" w:rsidP="00A76178">
      <w:pPr>
        <w:widowControl w:val="0"/>
        <w:ind w:firstLine="567"/>
        <w:jc w:val="both"/>
        <w:rPr>
          <w:i/>
        </w:rPr>
      </w:pPr>
      <w:r w:rsidRPr="00940EE6">
        <w:rPr>
          <w:lang w:val="uk-UA"/>
        </w:rPr>
        <w:t xml:space="preserve">Середня житлова забезпеченість по місту на 1 мешканця складає </w:t>
      </w:r>
      <w:smartTag w:uri="urn:schemas-microsoft-com:office:smarttags" w:element="metricconverter">
        <w:smartTagPr>
          <w:attr w:name="ProductID" w:val="23,2 м2"/>
        </w:smartTagPr>
        <w:r w:rsidRPr="00940EE6">
          <w:rPr>
            <w:lang w:val="uk-UA"/>
          </w:rPr>
          <w:t>23,2 м</w:t>
        </w:r>
        <w:r w:rsidRPr="00940EE6">
          <w:rPr>
            <w:vertAlign w:val="superscript"/>
            <w:lang w:val="uk-UA"/>
          </w:rPr>
          <w:t>2</w:t>
        </w:r>
      </w:smartTag>
      <w:r w:rsidRPr="00940EE6">
        <w:rPr>
          <w:lang w:val="uk-UA"/>
        </w:rPr>
        <w:t xml:space="preserve"> загальної площі. </w:t>
      </w:r>
      <w:r w:rsidRPr="00940EE6">
        <w:t>Станом на 01.01.2015 року в місті перебувало на квартирному обліку 1304 сім’ї (близько 3,5 тис. осіб).</w:t>
      </w:r>
    </w:p>
    <w:p w:rsidR="00433698" w:rsidRPr="00940EE6" w:rsidRDefault="00433698" w:rsidP="00A76178">
      <w:pPr>
        <w:widowControl w:val="0"/>
        <w:ind w:firstLine="567"/>
        <w:jc w:val="both"/>
        <w:rPr>
          <w:vertAlign w:val="subscript"/>
          <w:lang w:val="uk-UA"/>
        </w:rPr>
      </w:pPr>
    </w:p>
    <w:p w:rsidR="00433698" w:rsidRDefault="00433698" w:rsidP="00A76178">
      <w:pPr>
        <w:widowControl w:val="0"/>
        <w:jc w:val="center"/>
        <w:rPr>
          <w:b/>
          <w:lang w:val="uk-UA"/>
        </w:rPr>
      </w:pPr>
      <w:r w:rsidRPr="00940EE6">
        <w:rPr>
          <w:b/>
          <w:lang w:val="uk-UA"/>
        </w:rPr>
        <w:t>6. Установи та підприємства обслуговування</w:t>
      </w:r>
    </w:p>
    <w:p w:rsidR="00433698" w:rsidRPr="00940EE6" w:rsidRDefault="00433698" w:rsidP="00A76178">
      <w:pPr>
        <w:widowControl w:val="0"/>
        <w:jc w:val="center"/>
        <w:rPr>
          <w:b/>
          <w:lang w:val="uk-UA"/>
        </w:rPr>
      </w:pP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Установи охорони здоров’я представлені закладами обласного та районного значення. 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Медичні послуги населенню надають:</w:t>
      </w:r>
    </w:p>
    <w:tbl>
      <w:tblPr>
        <w:tblW w:w="0" w:type="auto"/>
        <w:tblLook w:val="00A0"/>
      </w:tblPr>
      <w:tblGrid>
        <w:gridCol w:w="9464"/>
      </w:tblGrid>
      <w:tr w:rsidR="00433698" w:rsidRPr="00940EE6" w:rsidTr="001C56EE">
        <w:tc>
          <w:tcPr>
            <w:tcW w:w="9464" w:type="dxa"/>
          </w:tcPr>
          <w:p w:rsidR="00433698" w:rsidRPr="001C56EE" w:rsidRDefault="00433698" w:rsidP="001C56EE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1C56EE">
              <w:rPr>
                <w:lang w:val="uk-UA"/>
              </w:rPr>
              <w:t>центральна районна лікарня на 460 лікарняних ліжок;</w:t>
            </w:r>
          </w:p>
          <w:p w:rsidR="00433698" w:rsidRPr="001C56EE" w:rsidRDefault="00433698" w:rsidP="001C56EE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1C56EE">
              <w:rPr>
                <w:lang w:val="uk-UA"/>
              </w:rPr>
              <w:t>тубдиспансер на 250 ліжок та 50 відвідувань у зміну</w:t>
            </w:r>
          </w:p>
          <w:p w:rsidR="00433698" w:rsidRPr="001C56EE" w:rsidRDefault="00433698" w:rsidP="001C56EE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1C56EE">
              <w:rPr>
                <w:lang w:val="uk-UA"/>
              </w:rPr>
              <w:t>обласна дитяча лікарня на 400 лікарняних ліжок</w:t>
            </w:r>
          </w:p>
          <w:p w:rsidR="00433698" w:rsidRPr="001C56EE" w:rsidRDefault="00433698" w:rsidP="001C56EE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1C56EE">
              <w:rPr>
                <w:lang w:val="uk-UA"/>
              </w:rPr>
              <w:t>амбулаторія ЗПСМ №1 на 28 відвідувань у зміну</w:t>
            </w:r>
          </w:p>
          <w:p w:rsidR="00433698" w:rsidRPr="001C56EE" w:rsidRDefault="00433698" w:rsidP="001C56EE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1C56EE">
              <w:rPr>
                <w:lang w:val="uk-UA"/>
              </w:rPr>
              <w:t>амбулаторія ЗПСМ №2 на 20 відвідувань у зміну</w:t>
            </w:r>
          </w:p>
          <w:p w:rsidR="00433698" w:rsidRPr="001C56EE" w:rsidRDefault="00433698" w:rsidP="001C56EE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1C56EE">
              <w:rPr>
                <w:lang w:val="uk-UA"/>
              </w:rPr>
              <w:t>районна поліклініка на 830 відвідувань у зміну;</w:t>
            </w:r>
          </w:p>
          <w:p w:rsidR="00433698" w:rsidRPr="001C56EE" w:rsidRDefault="00433698" w:rsidP="001C56EE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1C56EE">
              <w:rPr>
                <w:lang w:val="uk-UA"/>
              </w:rPr>
              <w:t>дитяча районна поліклініка на 150 відвідувань у зміну;</w:t>
            </w:r>
          </w:p>
          <w:p w:rsidR="00433698" w:rsidRPr="001C56EE" w:rsidRDefault="00433698" w:rsidP="001C56EE">
            <w:pPr>
              <w:pStyle w:val="ListParagraph"/>
              <w:widowControl w:val="0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1C56EE">
              <w:rPr>
                <w:lang w:val="uk-UA"/>
              </w:rPr>
              <w:t>станція швидкої допомоги.</w:t>
            </w:r>
          </w:p>
        </w:tc>
      </w:tr>
    </w:tbl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На території м. Боярки в даний час функціонують 4 загальноосвітніх школи 1-III ступеня, НВК «Колегіум» - загальноосвітня школа № 3, навчально-виховне об’єднання - загальноосвітня школа І ступеня, НВК «Гімназія» - загальноосвітня школа 1 ступеня, КЗ КОР «Боярська спеціальна загальноосвітня школа-інтернат 1-II ступеня, Навчально-оздоровчий комплекс Київського військового ліцею ім. І. Богуна І-II ступеню, три приватні загальноосвітні школи – «Виноградник», «Леді», «Кадетство». Загальна ємність шкіл - 5582 місць; кількість учнів - 6250. Три школи працюють в дві зміни. 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Дошкільна освіта представлена </w:t>
      </w:r>
      <w:r>
        <w:rPr>
          <w:lang w:val="uk-UA"/>
        </w:rPr>
        <w:t>7</w:t>
      </w:r>
      <w:r w:rsidRPr="00940EE6">
        <w:rPr>
          <w:lang w:val="uk-UA"/>
        </w:rPr>
        <w:t xml:space="preserve"> дошкільними закладами на 1046 місць, які відвідує 1940 дітей.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У місті також функціонують: Українська державна лісодослідна станція, Український центр підготовки, перепідготовки і підвищення кадрів лісового господарства, Боярський коледж екології і природних ресурсів НАУ.</w:t>
      </w:r>
    </w:p>
    <w:p w:rsidR="00433698" w:rsidRPr="00940EE6" w:rsidRDefault="00433698" w:rsidP="00A76178">
      <w:pPr>
        <w:widowControl w:val="0"/>
        <w:tabs>
          <w:tab w:val="left" w:pos="851"/>
        </w:tabs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У місті за останні роки одержали розвиток приватні підприємства та організації, що займаються різними видами діяльності. Це торгівля, громадське харчування, послуги.  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</w:p>
    <w:p w:rsidR="00433698" w:rsidRDefault="00433698" w:rsidP="00A76178">
      <w:pPr>
        <w:pStyle w:val="Heading2"/>
        <w:widowControl w:val="0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940EE6">
        <w:rPr>
          <w:sz w:val="24"/>
          <w:szCs w:val="24"/>
          <w:lang w:val="uk-UA"/>
        </w:rPr>
        <w:t>7. Планувальна організація території</w:t>
      </w:r>
    </w:p>
    <w:p w:rsidR="00433698" w:rsidRPr="00940EE6" w:rsidRDefault="00433698" w:rsidP="00A76178">
      <w:pPr>
        <w:pStyle w:val="Heading2"/>
        <w:widowControl w:val="0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Територія в існуючих межах міста має великий рівень урбаністичного використання. У складі планувальної структури досить чітко сформовані всі функціональні зони, притаманні міському середовищу.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Сельбищні зони сформовані на території Історичної та Нової Боярки.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Виробничі території представлені трьома промисловими вузлами: в центральній частині міста (завод «Арксі») в північній (БЛУМГ) та в східній частині Історичної Боярки.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На території міста також сформовані зони навчальних закладів (Боярський коледж екології та природних ресурсів, лісодослідна станція та військовий ліцей ім. Богуна).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Зони закладів охорони здоров’я розташовані в різних частинах міста (Історична Боярка, вул. Хрещатик та вул. Соборності).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У складі існуючої містобудівної структури м. Боярки сформована система центрів, зелених насаджень загального користування та спортивних об’єктів. Рівень забезпечення населення цими видами обслуговування недостатній.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Планувальна структура міста об’єднує існуючі функціональні зони в вигляді двох планувальних утворень – Історична Боярка та Нова Боярка, які розрізані залізницею. Відсутність шляхопроводів через залізницю є основною проблемою на шляху створення єдиної планувальної структури міста.</w:t>
      </w:r>
    </w:p>
    <w:p w:rsidR="00433698" w:rsidRPr="00940EE6" w:rsidRDefault="00433698" w:rsidP="00A76178">
      <w:pPr>
        <w:widowControl w:val="0"/>
        <w:jc w:val="both"/>
        <w:rPr>
          <w:lang w:val="uk-UA"/>
        </w:rPr>
      </w:pPr>
    </w:p>
    <w:p w:rsidR="00433698" w:rsidRDefault="00433698" w:rsidP="00A76178">
      <w:pPr>
        <w:pStyle w:val="Heading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40EE6">
        <w:rPr>
          <w:rFonts w:ascii="Times New Roman" w:hAnsi="Times New Roman" w:cs="Times New Roman"/>
          <w:sz w:val="24"/>
          <w:szCs w:val="24"/>
        </w:rPr>
        <w:t>8. Особливості перспективного розвитку міста</w:t>
      </w:r>
    </w:p>
    <w:p w:rsidR="00433698" w:rsidRPr="00A76178" w:rsidRDefault="00433698" w:rsidP="00A76178">
      <w:pPr>
        <w:rPr>
          <w:lang w:val="uk-UA"/>
        </w:rPr>
      </w:pP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Тенденції розвитку м. Боярки завжди були пов’язані з його вигідним розташуванням в зоні впливу столиці. 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Це дозволило місту стати промислово-транспортним центром у складі Київської агломерації. На території міста функціонують промислові підприємства, підприємства будівельної індустрії. 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Промисловість Боярки є одним з основних містоутворюючих чинників. Крім того, на території міста розташовані підприємства і організації обласного та районного значення.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Особливості демографічних процесів у Боярці також залежать від місця розташування населеного пункту поблизу Києва. На фоні значного скорочення чисельності населення в більшості міст України у Боярці чисельність населення в останні роки майже стабільна і має тенденцію до збільшення. </w:t>
      </w:r>
    </w:p>
    <w:p w:rsidR="00433698" w:rsidRPr="00940EE6" w:rsidRDefault="00433698" w:rsidP="00A76178">
      <w:pPr>
        <w:widowControl w:val="0"/>
        <w:ind w:firstLine="567"/>
        <w:jc w:val="both"/>
        <w:rPr>
          <w:highlight w:val="yellow"/>
          <w:lang w:val="uk-UA"/>
        </w:rPr>
      </w:pPr>
      <w:r w:rsidRPr="00940EE6">
        <w:rPr>
          <w:lang w:val="uk-UA"/>
        </w:rPr>
        <w:t>Боярка є інвестиційно привабливим містом. Активність інвесторів, яка дуже позитивно впливає на економіку будь якого міста, обумовлена, близькістю до Києва, зручними транспортними зв’язками, а також, більш вигідними умовами для інвестування, ніж у столиці.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Територіальні ресурси міста в існуючих межах дуже обмежені. Вільні території для розміщення будівництва в існуючих межах майже відсутні, а існуюча забудова є дуже щільною. 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Боярка має обмеження і в напрямках територіального розвитку поза її існуючими межами. З півдня та південного заходу розвиток міста обмежений територією лісів Національного аграрного університету (Держлісфонд), зі сходу – забудовою села Тарасівка. </w:t>
      </w:r>
      <w:r w:rsidRPr="00940EE6">
        <w:rPr>
          <w:lang w:val="uk-UA"/>
        </w:rPr>
        <w:tab/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Територіальний розвиток міста можливий лише в північному та північно-західному напрямках.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Пропозиції щодо перспективного розвитку м. Боярки включають: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- територіальний розвиток та планувальну структуру міста;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- обсяги та структуру житлового будівництва та будівництва об’єктів обслуговування;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- прогноз розвитку господарського комплексу;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- прогноз розвитку інженерно-транспортної інфраструктури.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</w:p>
    <w:p w:rsidR="00433698" w:rsidRDefault="00433698" w:rsidP="00A76178">
      <w:pPr>
        <w:pStyle w:val="Heading2"/>
        <w:widowControl w:val="0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940EE6">
        <w:rPr>
          <w:sz w:val="24"/>
          <w:szCs w:val="24"/>
          <w:lang w:val="uk-UA"/>
        </w:rPr>
        <w:t>9. Перспективні межі міст</w:t>
      </w:r>
    </w:p>
    <w:p w:rsidR="00433698" w:rsidRPr="00940EE6" w:rsidRDefault="00433698" w:rsidP="00A76178">
      <w:pPr>
        <w:pStyle w:val="Heading2"/>
        <w:widowControl w:val="0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Територія м. Боярка в існуючих межах, згідно обміру креслень управління земельних ресурсів у Києво-Святошинському районі – 998,7 га.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Територія міста в перспективних межах -1508,7 га.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До перспективних меж міста передбачається включити  510,0 га, у тому числі території: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-  Боярської міськради - 403,4 га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- Петрівської сільради - 38,2,0 га;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- Боярського коледжу Національного університету біоресурсів та природокористування України - 68,4 га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Наведені показники територій прийняті на основі обміру картографічного матеріалу і підлягають уточненню при розробці проекту меж міста.</w:t>
      </w:r>
    </w:p>
    <w:p w:rsidR="00433698" w:rsidRPr="00940EE6" w:rsidRDefault="00433698" w:rsidP="00A76178">
      <w:pPr>
        <w:pStyle w:val="BodyText"/>
        <w:widowControl w:val="0"/>
        <w:ind w:firstLine="567"/>
        <w:jc w:val="both"/>
        <w:rPr>
          <w:sz w:val="24"/>
          <w:szCs w:val="24"/>
        </w:rPr>
      </w:pPr>
      <w:r w:rsidRPr="00940EE6">
        <w:rPr>
          <w:sz w:val="24"/>
          <w:szCs w:val="24"/>
        </w:rPr>
        <w:t>З метою вдосконалення управлінням суміжними територіями окремим питанням розглядалося питання проходження межі м. Боярка та с. Тарасівка вздовж залізниці.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Перспективна структурно-функціональна організація території міста формується на основі існуючої магістральної вулично-дорожньої мережі з активним використанням елементів екологічного каркасу. Основними планувальними осями є вулиці загальноміського значення: в Новій Боярці - Білгородська, Магістральна, Незалежності, Хрещатик, в Історичній Боярці – вул. Т. Шевченка та вул. Лейтенанта Кібенка.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Головною проблемою існуючої планувальної структури міста є відсутність переїздів через залізницю, що розрізає місто на 2 частини. Крім того, через місто проходить значний потік транзитного транспорту в напрямку м. Києва, сіл Білогородка, Забір’я та Бобриці.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Для вирішення цих питань пропонується: 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- будівництво трьох розв’язок в двох рівнях через залізницю: в створі вул. Білогородської, в створі вул. Незалежності, з вул. М. Грушевського;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- будівництво об’їзної автодороги міста. Цей об’їзд буде з’єднувати всі виходи з міста до зовнішньої мережі автодоріг. Місце підключення цього об’їзду до Одеської траси планується в двох рівнях.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Це дозволить значно покращити рівень транспортного обслуговування міста, що в свою чергу обумовить реальну можливість підвищення рівня комфортності міського середовища.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Досягненню цієї мети буде сприяти також створення системи центрів обслуговування та формування системи зелених насаджень загального користування.</w:t>
      </w:r>
    </w:p>
    <w:p w:rsidR="00433698" w:rsidRPr="00940EE6" w:rsidRDefault="00433698" w:rsidP="00A76178">
      <w:pPr>
        <w:jc w:val="both"/>
        <w:rPr>
          <w:lang w:val="uk-UA"/>
        </w:rPr>
      </w:pPr>
    </w:p>
    <w:p w:rsidR="00433698" w:rsidRPr="00940EE6" w:rsidRDefault="00433698" w:rsidP="00A76178">
      <w:pPr>
        <w:widowControl w:val="0"/>
        <w:jc w:val="center"/>
        <w:rPr>
          <w:b/>
          <w:lang w:val="uk-UA"/>
        </w:rPr>
      </w:pPr>
      <w:r w:rsidRPr="00940EE6">
        <w:rPr>
          <w:b/>
          <w:lang w:val="uk-UA"/>
        </w:rPr>
        <w:t>10. Сприятливе середовище для інвестицій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 xml:space="preserve">На сьогодні Боярка – місто, що активно розвивається. Виконавчий комітет та міська рада чудово розуміють, що сталий розвиток у сьогоднішніх умовах децентралізації можливий лише за рахунок залучення інвестицій. Адже це – конкурентна перевага кожного міста, особливо розташованого поряд з Києвом. Тому, у місті активно формується середовище, сприятливе для інвестицій любого ґатунку. 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Для цього у Боярці впроваджуються найбільш зручні умови для роботи з бізнесом та формування привабливого інвести</w:t>
      </w:r>
      <w:r>
        <w:rPr>
          <w:lang w:val="uk-UA"/>
        </w:rPr>
        <w:t>ційного клімату. Тобто, у місті</w:t>
      </w:r>
      <w:r w:rsidRPr="00940EE6">
        <w:rPr>
          <w:lang w:val="uk-UA"/>
        </w:rPr>
        <w:t xml:space="preserve"> створено або запускаються найближчим часом:</w:t>
      </w:r>
    </w:p>
    <w:p w:rsidR="00433698" w:rsidRPr="00940EE6" w:rsidRDefault="00433698" w:rsidP="00A76178">
      <w:pPr>
        <w:pStyle w:val="ListParagraph"/>
        <w:widowControl w:val="0"/>
        <w:numPr>
          <w:ilvl w:val="0"/>
          <w:numId w:val="1"/>
        </w:numPr>
        <w:jc w:val="both"/>
        <w:rPr>
          <w:lang w:val="uk-UA"/>
        </w:rPr>
      </w:pPr>
      <w:r w:rsidRPr="00940EE6">
        <w:rPr>
          <w:lang w:val="uk-UA"/>
        </w:rPr>
        <w:t xml:space="preserve">відділ державного архітектурно-будівельного контролю, що зможе надавати у місті декларації про початок та закінчення будівництва; </w:t>
      </w:r>
    </w:p>
    <w:p w:rsidR="00433698" w:rsidRPr="00940EE6" w:rsidRDefault="00433698" w:rsidP="00A76178">
      <w:pPr>
        <w:pStyle w:val="ListParagraph"/>
        <w:widowControl w:val="0"/>
        <w:numPr>
          <w:ilvl w:val="0"/>
          <w:numId w:val="1"/>
        </w:numPr>
        <w:jc w:val="both"/>
        <w:rPr>
          <w:lang w:val="uk-UA"/>
        </w:rPr>
      </w:pPr>
      <w:r w:rsidRPr="00940EE6">
        <w:rPr>
          <w:lang w:val="uk-UA"/>
        </w:rPr>
        <w:t>відділ державної реєстрації, що зможе проводити реєстрацію бізнесу: фізичних та юридичних осіб з екстериторіальними повноваженнями  реєстрації нерухомості та майна;</w:t>
      </w:r>
    </w:p>
    <w:p w:rsidR="00433698" w:rsidRPr="00940EE6" w:rsidRDefault="00433698" w:rsidP="00A76178">
      <w:pPr>
        <w:pStyle w:val="ListParagraph"/>
        <w:widowControl w:val="0"/>
        <w:numPr>
          <w:ilvl w:val="0"/>
          <w:numId w:val="1"/>
        </w:numPr>
        <w:jc w:val="both"/>
        <w:rPr>
          <w:lang w:val="uk-UA"/>
        </w:rPr>
      </w:pPr>
      <w:r w:rsidRPr="00940EE6">
        <w:rPr>
          <w:lang w:val="uk-UA"/>
        </w:rPr>
        <w:t>відділ архітектури</w:t>
      </w:r>
      <w:r>
        <w:rPr>
          <w:lang w:val="uk-UA"/>
        </w:rPr>
        <w:t xml:space="preserve"> та містобудування</w:t>
      </w:r>
      <w:r w:rsidRPr="00940EE6">
        <w:rPr>
          <w:lang w:val="uk-UA"/>
        </w:rPr>
        <w:t>;</w:t>
      </w:r>
    </w:p>
    <w:p w:rsidR="00433698" w:rsidRPr="00940EE6" w:rsidRDefault="00433698" w:rsidP="00A76178">
      <w:pPr>
        <w:pStyle w:val="ListParagraph"/>
        <w:widowControl w:val="0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відділ землевпорядкування та кадастру;</w:t>
      </w:r>
    </w:p>
    <w:p w:rsidR="00433698" w:rsidRPr="00940EE6" w:rsidRDefault="00433698" w:rsidP="00A76178">
      <w:pPr>
        <w:pStyle w:val="ListParagraph"/>
        <w:widowControl w:val="0"/>
        <w:numPr>
          <w:ilvl w:val="0"/>
          <w:numId w:val="1"/>
        </w:numPr>
        <w:jc w:val="both"/>
        <w:rPr>
          <w:lang w:val="uk-UA"/>
        </w:rPr>
      </w:pPr>
      <w:r w:rsidRPr="00940EE6">
        <w:rPr>
          <w:lang w:val="uk-UA"/>
        </w:rPr>
        <w:t xml:space="preserve">створюються інші сервіси для підтримки та розвитку малого й середнього бізнесу. </w:t>
      </w:r>
    </w:p>
    <w:p w:rsidR="00433698" w:rsidRPr="00940EE6" w:rsidRDefault="00433698" w:rsidP="00A76178">
      <w:pPr>
        <w:widowControl w:val="0"/>
        <w:ind w:firstLine="567"/>
        <w:jc w:val="both"/>
        <w:rPr>
          <w:lang w:val="uk-UA"/>
        </w:rPr>
      </w:pP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 w:rsidRPr="00940EE6">
        <w:rPr>
          <w:lang w:val="uk-UA"/>
        </w:rPr>
        <w:t>Наша стратегічна мета – перетворити Боярку на центр  відпо</w:t>
      </w:r>
      <w:r>
        <w:rPr>
          <w:lang w:val="uk-UA"/>
        </w:rPr>
        <w:t>чинку та оздоровлення не тільки</w:t>
      </w:r>
      <w:r w:rsidRPr="00940EE6">
        <w:rPr>
          <w:lang w:val="uk-UA"/>
        </w:rPr>
        <w:t xml:space="preserve"> боярчан та жителів навколишніх територій, а й стати справжнім центром рекреації та туризму вихідного дня для жителів Києва та усієї Київської області, стати містом безпечним та комфортним для життя й перебування усіх людей.  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</w:p>
    <w:p w:rsidR="00433698" w:rsidRPr="00071FEC" w:rsidRDefault="00433698" w:rsidP="00A76178">
      <w:pPr>
        <w:widowControl w:val="0"/>
        <w:ind w:firstLine="567"/>
        <w:jc w:val="center"/>
        <w:rPr>
          <w:lang w:val="uk-UA"/>
        </w:rPr>
      </w:pPr>
      <w:r w:rsidRPr="00071FEC">
        <w:rPr>
          <w:b/>
          <w:i/>
          <w:lang w:val="uk-UA"/>
        </w:rPr>
        <w:t>ДОХОДИ     БЮДЖЕТУ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 w:rsidRPr="00071FEC">
        <w:rPr>
          <w:lang w:val="uk-UA"/>
        </w:rPr>
        <w:t>Дохідна частина бюджету м. Боярка на 2017 рік розроблена відповідно до норм чинного Бюджетного та Податкового кодексу України, прогнозних показників бюджету, розрахованих на підставі фактичних надходжень у 2016 році та діючих ставок місцевих податків і зборів, затверджених р</w:t>
      </w:r>
      <w:r>
        <w:rPr>
          <w:lang w:val="uk-UA"/>
        </w:rPr>
        <w:t>ішеннями Боярської міської ради.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Розрахунки доходів міського бюджету на 2017 рік базуються на тій же податковій базі, що і бюджет 2016 року, структура бюджету нового року залишається майже незмінною.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</w:p>
    <w:p w:rsidR="00433698" w:rsidRDefault="00433698" w:rsidP="00565313">
      <w:pPr>
        <w:widowControl w:val="0"/>
        <w:ind w:firstLine="567"/>
        <w:jc w:val="center"/>
        <w:rPr>
          <w:b/>
          <w:lang w:val="uk-UA"/>
        </w:rPr>
      </w:pPr>
      <w:r w:rsidRPr="00ED62B2">
        <w:rPr>
          <w:b/>
          <w:lang w:val="uk-UA"/>
        </w:rPr>
        <w:t>Структура доходів бюджету міста у 2016 році</w:t>
      </w:r>
    </w:p>
    <w:p w:rsidR="00433698" w:rsidRDefault="00433698" w:rsidP="00071FEC">
      <w:pPr>
        <w:widowControl w:val="0"/>
        <w:ind w:firstLine="567"/>
        <w:rPr>
          <w:b/>
          <w:lang w:val="uk-UA"/>
        </w:rPr>
      </w:pPr>
    </w:p>
    <w:tbl>
      <w:tblPr>
        <w:tblW w:w="10060" w:type="dxa"/>
        <w:tblLook w:val="00A0"/>
      </w:tblPr>
      <w:tblGrid>
        <w:gridCol w:w="1360"/>
        <w:gridCol w:w="6715"/>
        <w:gridCol w:w="1985"/>
      </w:tblGrid>
      <w:tr w:rsidR="00433698" w:rsidTr="00565313">
        <w:trPr>
          <w:trHeight w:val="402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Найменування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Разом на рік</w:t>
            </w:r>
          </w:p>
        </w:tc>
      </w:tr>
      <w:tr w:rsidR="00433698" w:rsidTr="00565313">
        <w:trPr>
          <w:trHeight w:val="28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3</w:t>
            </w:r>
          </w:p>
        </w:tc>
      </w:tr>
      <w:tr w:rsidR="00433698" w:rsidTr="00EF6BDE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11020200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Податок на прибуток підприємств та фінансових установ комунальної власності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315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917,00</w:t>
            </w:r>
          </w:p>
        </w:tc>
      </w:tr>
      <w:tr w:rsidR="00433698" w:rsidTr="00EF6BDE">
        <w:trPr>
          <w:trHeight w:val="67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13010200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 w:rsidP="003C0A37">
            <w:pPr>
              <w:ind w:left="-108" w:firstLine="108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EF6BDE">
        <w:trPr>
          <w:trHeight w:val="48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14040000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Акцизний податок з реалізації суб`єктами господарювання роздрібної торгівлі підакцизних товарів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48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18010100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18010200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67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18010400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500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18010500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Земельний податок з юридичних осіб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629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761,00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18010600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Орендна плата з юридичних осіб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428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691,00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18010700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Земельний податок з фізичних осіб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18010900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Орендна плата з фізичних осіб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200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18011000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Транспортний податок з фізичних осіб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650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18011100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Транспортний податок з юридичних осіб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68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860,00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18030100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Туристичний збір, сплачений юридичними особами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18030200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Туристичний збір, сплачений фізичними особами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18050300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Єдиний податок з юридичних осіб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514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068,00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18050400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Єдиний податок з фізичних осіб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814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796,00</w:t>
            </w:r>
          </w:p>
        </w:tc>
      </w:tr>
      <w:tr w:rsidR="00433698" w:rsidTr="00565313">
        <w:trPr>
          <w:trHeight w:val="67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21010300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21081100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Адміністративні штрафи та інші санкції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22012500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Плата за надання інших адміністративних послуг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972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241,00</w:t>
            </w:r>
          </w:p>
        </w:tc>
      </w:tr>
      <w:tr w:rsidR="00433698" w:rsidTr="00565313">
        <w:trPr>
          <w:trHeight w:val="48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22080400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Надходження від орендної плати за користування цілісним майновим комплексом та іншим майном, що перебуває в комунальній власності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800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67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22090100</w:t>
            </w:r>
          </w:p>
        </w:tc>
        <w:tc>
          <w:tcPr>
            <w:tcW w:w="6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22090400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Державне мито, пов`язане з видачею та оформленням закордонних паспортів (посвідок) та паспортів громадян України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500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41034500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Субвенція з державного бюджету місцевим бюджетам на здійснення заходів щодо соціально-економічного розвитку окремих територій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280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000,00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41035000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Інші субвенції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321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300,00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 xml:space="preserve">Усього ( без урахування трансфертів)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47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144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334,00</w:t>
            </w:r>
          </w:p>
        </w:tc>
      </w:tr>
      <w:tr w:rsidR="00433698" w:rsidTr="005653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 xml:space="preserve">Усього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Default="00433698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73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745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634,00</w:t>
            </w:r>
          </w:p>
        </w:tc>
      </w:tr>
    </w:tbl>
    <w:p w:rsidR="00433698" w:rsidRDefault="00433698" w:rsidP="00071FEC">
      <w:pPr>
        <w:widowControl w:val="0"/>
        <w:ind w:firstLine="567"/>
        <w:rPr>
          <w:b/>
          <w:lang w:val="uk-UA"/>
        </w:rPr>
      </w:pPr>
    </w:p>
    <w:p w:rsidR="00433698" w:rsidRDefault="00433698" w:rsidP="00071FEC">
      <w:pPr>
        <w:widowControl w:val="0"/>
        <w:ind w:firstLine="567"/>
        <w:rPr>
          <w:b/>
          <w:lang w:val="uk-UA"/>
        </w:rPr>
      </w:pPr>
    </w:p>
    <w:p w:rsidR="00433698" w:rsidRDefault="00433698" w:rsidP="00165ECF">
      <w:pPr>
        <w:widowControl w:val="0"/>
        <w:ind w:firstLine="567"/>
        <w:jc w:val="center"/>
        <w:rPr>
          <w:b/>
          <w:lang w:val="uk-UA"/>
        </w:rPr>
      </w:pPr>
      <w:r>
        <w:rPr>
          <w:b/>
          <w:lang w:val="uk-UA"/>
        </w:rPr>
        <w:t>Прогноз структури доходів бюджету міста на 2017 рік</w:t>
      </w:r>
    </w:p>
    <w:p w:rsidR="00433698" w:rsidRDefault="00433698" w:rsidP="00071FEC">
      <w:pPr>
        <w:widowControl w:val="0"/>
        <w:ind w:firstLine="567"/>
        <w:rPr>
          <w:b/>
          <w:lang w:val="uk-UA"/>
        </w:rPr>
      </w:pPr>
    </w:p>
    <w:tbl>
      <w:tblPr>
        <w:tblW w:w="10060" w:type="dxa"/>
        <w:tblLook w:val="00A0"/>
      </w:tblPr>
      <w:tblGrid>
        <w:gridCol w:w="1380"/>
        <w:gridCol w:w="6695"/>
        <w:gridCol w:w="1985"/>
      </w:tblGrid>
      <w:tr w:rsidR="00433698" w:rsidTr="00565313">
        <w:trPr>
          <w:trHeight w:val="39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Default="0043369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Default="0043369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Найменування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Default="0043369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грн.</w:t>
            </w:r>
          </w:p>
        </w:tc>
      </w:tr>
      <w:tr w:rsidR="00433698" w:rsidTr="00565313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Default="0043369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Default="0043369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Default="0043369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33698" w:rsidRPr="00360E31" w:rsidTr="00565313">
        <w:trPr>
          <w:trHeight w:val="5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11020200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Податок на прибуток підприємств та фінансових установ комунальної власності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150 000,00</w:t>
            </w:r>
          </w:p>
        </w:tc>
      </w:tr>
      <w:tr w:rsidR="00433698" w:rsidRPr="00360E31" w:rsidTr="00565313">
        <w:trPr>
          <w:trHeight w:val="109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13010200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350 000,00</w:t>
            </w:r>
          </w:p>
        </w:tc>
      </w:tr>
      <w:tr w:rsidR="00433698" w:rsidRPr="00360E31" w:rsidTr="00EF6BDE">
        <w:trPr>
          <w:trHeight w:val="3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13020200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Рентна плата за спеціальне використання води водних об'єктів місцевого значення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200,00</w:t>
            </w:r>
          </w:p>
        </w:tc>
      </w:tr>
      <w:tr w:rsidR="00433698" w:rsidRPr="00360E31" w:rsidTr="00EF6BDE">
        <w:trPr>
          <w:trHeight w:val="69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14040000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Акцизний податок з реалізації суб`єктами господарювання роздрібної торгівлі підакцизних товарів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5 200 000,00</w:t>
            </w:r>
          </w:p>
        </w:tc>
      </w:tr>
      <w:tr w:rsidR="00433698" w:rsidRPr="00360E31" w:rsidTr="00565313">
        <w:trPr>
          <w:trHeight w:val="81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18010100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Податок на нерухоме майно, відмінне від земельної ділянки, сплачений юридичними особами, які є власниками об`єктів житлової нерухомості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30 000,00</w:t>
            </w:r>
          </w:p>
        </w:tc>
      </w:tr>
      <w:tr w:rsidR="00433698" w:rsidRPr="00360E31" w:rsidTr="00565313">
        <w:trPr>
          <w:trHeight w:val="8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18010200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62 800,00</w:t>
            </w:r>
          </w:p>
        </w:tc>
      </w:tr>
      <w:tr w:rsidR="00433698" w:rsidRPr="00360E31" w:rsidTr="00565313">
        <w:trPr>
          <w:trHeight w:val="76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18010300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Податок на нерухоме майно, відмінне від земельної ділянки, сплачений фізичними особами, які є власниками об'єктів нежитлової нерухомості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8 200,00</w:t>
            </w:r>
          </w:p>
        </w:tc>
      </w:tr>
      <w:tr w:rsidR="00433698" w:rsidRPr="00360E31" w:rsidTr="00565313">
        <w:trPr>
          <w:trHeight w:val="8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18010400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600 000,00</w:t>
            </w:r>
          </w:p>
        </w:tc>
      </w:tr>
      <w:tr w:rsidR="00433698" w:rsidRPr="00360E31" w:rsidTr="00565313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18010500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Земельний податок з юридичних осіб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6 500 000,00</w:t>
            </w:r>
          </w:p>
        </w:tc>
      </w:tr>
      <w:tr w:rsidR="00433698" w:rsidRPr="00360E31" w:rsidTr="00565313">
        <w:trPr>
          <w:trHeight w:val="3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18010600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Орендна плата з юридичних осіб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4 626 950,00</w:t>
            </w:r>
          </w:p>
        </w:tc>
      </w:tr>
      <w:tr w:rsidR="00433698" w:rsidRPr="00360E31" w:rsidTr="00565313">
        <w:trPr>
          <w:trHeight w:val="4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18010700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Земельний податок з фізичних осіб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209 000,00</w:t>
            </w:r>
          </w:p>
        </w:tc>
      </w:tr>
      <w:tr w:rsidR="00433698" w:rsidRPr="00360E31" w:rsidTr="00565313">
        <w:trPr>
          <w:trHeight w:val="43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18010900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Орендна плата з фізичних осіб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1 400 000,00</w:t>
            </w:r>
          </w:p>
        </w:tc>
      </w:tr>
      <w:tr w:rsidR="00433698" w:rsidRPr="00360E31" w:rsidTr="00565313">
        <w:trPr>
          <w:trHeight w:val="4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18011000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Транспортний податок з фізичних осіб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2 400 000,00</w:t>
            </w:r>
          </w:p>
        </w:tc>
      </w:tr>
      <w:tr w:rsidR="00433698" w:rsidRPr="00360E31" w:rsidTr="00565313">
        <w:trPr>
          <w:trHeight w:val="43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18011100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Транспортний податок з юридичних осіб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183 500,00</w:t>
            </w:r>
          </w:p>
        </w:tc>
      </w:tr>
      <w:tr w:rsidR="00433698" w:rsidRPr="00360E31" w:rsidTr="00565313">
        <w:trPr>
          <w:trHeight w:val="4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18050300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Єдиний податок з юридичних осіб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2 912 800,00</w:t>
            </w:r>
          </w:p>
        </w:tc>
      </w:tr>
      <w:tr w:rsidR="00433698" w:rsidRPr="00360E31" w:rsidTr="00565313">
        <w:trPr>
          <w:trHeight w:val="49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18050400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Єдиний податок з фізичних осіб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22 358 800,00</w:t>
            </w:r>
          </w:p>
        </w:tc>
      </w:tr>
      <w:tr w:rsidR="00433698" w:rsidRPr="00360E31" w:rsidTr="00565313">
        <w:trPr>
          <w:trHeight w:val="8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21010300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20 000,00</w:t>
            </w:r>
          </w:p>
        </w:tc>
      </w:tr>
      <w:tr w:rsidR="00433698" w:rsidRPr="00360E31" w:rsidTr="00565313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21081100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Адміністративні штрафи та інші санкції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10 800,00</w:t>
            </w:r>
          </w:p>
        </w:tc>
      </w:tr>
      <w:tr w:rsidR="00433698" w:rsidRPr="00360E31" w:rsidTr="00565313">
        <w:trPr>
          <w:trHeight w:val="79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22010300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Адміністративний збір за проведення державної реєстрації юридичних осіб, фізичних осіб - підприємців та громадських формувань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6 100,00</w:t>
            </w:r>
          </w:p>
        </w:tc>
      </w:tr>
      <w:tr w:rsidR="00433698" w:rsidRPr="00360E31" w:rsidTr="00565313">
        <w:trPr>
          <w:trHeight w:val="45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22012500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Плата за надання інших адміністративних послуг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2 100 000,00</w:t>
            </w:r>
          </w:p>
        </w:tc>
      </w:tr>
      <w:tr w:rsidR="00433698" w:rsidRPr="00360E31" w:rsidTr="00565313">
        <w:trPr>
          <w:trHeight w:val="7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22012600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Адміністративний збір за державну реєстрацію речових прав на нерухоме майно та їх обтяжень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100 000,00</w:t>
            </w:r>
          </w:p>
        </w:tc>
      </w:tr>
      <w:tr w:rsidR="00433698" w:rsidRPr="00360E31" w:rsidTr="00565313">
        <w:trPr>
          <w:trHeight w:val="67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22080400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Надходження від орендної плати за користування цілісним майновим комплексом та іншим майном, що перебуває в комунальній власності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1 050 000,00</w:t>
            </w:r>
          </w:p>
        </w:tc>
      </w:tr>
      <w:tr w:rsidR="00433698" w:rsidRPr="00360E31" w:rsidTr="00565313">
        <w:trPr>
          <w:trHeight w:val="8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22090100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130 000,00</w:t>
            </w:r>
          </w:p>
        </w:tc>
      </w:tr>
      <w:tr w:rsidR="00433698" w:rsidRPr="00360E31" w:rsidTr="00565313">
        <w:trPr>
          <w:trHeight w:val="5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22090200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Державне мито, не віднесене до інших категорій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50,00</w:t>
            </w:r>
          </w:p>
        </w:tc>
      </w:tr>
      <w:tr w:rsidR="00433698" w:rsidRPr="00360E31" w:rsidTr="00565313">
        <w:trPr>
          <w:trHeight w:val="8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22090400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Державне мито, пов`язане з видачею та оформленням закордонних паспортів (посвідок) та паспортів громадян України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2 580 000,00</w:t>
            </w:r>
          </w:p>
        </w:tc>
      </w:tr>
      <w:tr w:rsidR="00433698" w:rsidRPr="00360E31" w:rsidTr="00EF6BDE">
        <w:trPr>
          <w:trHeight w:val="5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24060300</w:t>
            </w: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Інші надходження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10 800,00</w:t>
            </w:r>
          </w:p>
        </w:tc>
      </w:tr>
      <w:tr w:rsidR="00433698" w:rsidRPr="00360E31" w:rsidTr="00EF6BDE">
        <w:trPr>
          <w:trHeight w:val="51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41035003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Інші субвенції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sz w:val="20"/>
                <w:szCs w:val="20"/>
              </w:rPr>
              <w:t>29 550 400,00</w:t>
            </w:r>
          </w:p>
        </w:tc>
      </w:tr>
      <w:tr w:rsidR="00433698" w:rsidRPr="00360E31" w:rsidTr="00EF6BDE">
        <w:trPr>
          <w:trHeight w:val="37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b/>
                <w:sz w:val="20"/>
                <w:szCs w:val="20"/>
              </w:rPr>
              <w:t>Усього ( без урахування трансфертів)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b/>
                <w:sz w:val="20"/>
                <w:szCs w:val="20"/>
              </w:rPr>
              <w:t>53 000 000,00</w:t>
            </w:r>
          </w:p>
        </w:tc>
      </w:tr>
      <w:tr w:rsidR="00433698" w:rsidRPr="00360E31" w:rsidTr="00565313">
        <w:trPr>
          <w:trHeight w:val="750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 w:rsidP="00360E31">
            <w:pPr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b/>
                <w:sz w:val="20"/>
                <w:szCs w:val="20"/>
              </w:rPr>
              <w:t>НАДХОДЖЕННЯ ДО ЗФ МІСЬКОГО БЮДЖЕТУ В 2017 РОЦІ (з врахуванням субвенції)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698" w:rsidRPr="00360E31" w:rsidRDefault="00433698">
            <w:pPr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360E31">
              <w:rPr>
                <w:rFonts w:ascii="Times New Roman CYR" w:hAnsi="Times New Roman CYR" w:cs="Times New Roman CYR"/>
                <w:b/>
                <w:sz w:val="20"/>
                <w:szCs w:val="20"/>
              </w:rPr>
              <w:t>82 550 400,00</w:t>
            </w:r>
          </w:p>
        </w:tc>
      </w:tr>
    </w:tbl>
    <w:p w:rsidR="00433698" w:rsidRPr="00360E31" w:rsidRDefault="00433698" w:rsidP="00360E31">
      <w:pPr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433698" w:rsidRDefault="00433698" w:rsidP="00360E3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Основними джерелами надходжень загального фонду у 2017 році залишаються єдиний податок і плата за землю. Очікується збільшення надходжень єдиного податку за рахунок підвищення мінімальної заробітної плати, а на збільшення надходжень по платі за землю впливатиме щорічна індексація нормативної грошової оцінки землі.</w:t>
      </w:r>
    </w:p>
    <w:p w:rsidR="00433698" w:rsidRDefault="00433698" w:rsidP="00360E3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Надходження податку на майно, відмінне від земельної ділянки, заплановані в мінімальному розмірі у зв’язку з неможливістю точно спрогнозувати даний вид надходжень через відсутність інформації щодо бази оподаткування  і аналітики за попередні роки.</w:t>
      </w:r>
    </w:p>
    <w:p w:rsidR="00433698" w:rsidRDefault="00433698" w:rsidP="00360E31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Доходи спеціального фонду складаються з надходжень від пайових внесків забудовників в розвиток інфраструктури міста, екологічного податку та субвенції з районного бюджету на розвиток міста. </w:t>
      </w:r>
    </w:p>
    <w:p w:rsidR="00433698" w:rsidRDefault="00433698" w:rsidP="00DF21B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Таким чином, у 2017 році планується </w:t>
      </w:r>
      <w:r w:rsidRPr="00186D6D">
        <w:rPr>
          <w:lang w:val="uk-UA"/>
        </w:rPr>
        <w:t xml:space="preserve">отримати  </w:t>
      </w:r>
      <w:r w:rsidRPr="00186D6D">
        <w:rPr>
          <w:b/>
          <w:lang w:val="uk-UA"/>
        </w:rPr>
        <w:t>82 550,4 тис грн.</w:t>
      </w:r>
      <w:r w:rsidRPr="00186D6D">
        <w:rPr>
          <w:lang w:val="uk-UA"/>
        </w:rPr>
        <w:t xml:space="preserve"> доходів загального фонду </w:t>
      </w:r>
    </w:p>
    <w:p w:rsidR="00433698" w:rsidRPr="00186D6D" w:rsidRDefault="00433698" w:rsidP="00EC5A2E">
      <w:pPr>
        <w:widowControl w:val="0"/>
        <w:jc w:val="both"/>
        <w:rPr>
          <w:i/>
          <w:lang w:val="uk-UA"/>
        </w:rPr>
      </w:pPr>
      <w:r w:rsidRPr="00186D6D">
        <w:rPr>
          <w:lang w:val="uk-UA"/>
        </w:rPr>
        <w:t xml:space="preserve">(з них </w:t>
      </w:r>
      <w:r w:rsidRPr="00186D6D">
        <w:rPr>
          <w:b/>
          <w:lang w:val="uk-UA"/>
        </w:rPr>
        <w:t>29 550,4 тис. грн</w:t>
      </w:r>
      <w:r w:rsidRPr="00186D6D">
        <w:rPr>
          <w:lang w:val="uk-UA"/>
        </w:rPr>
        <w:t xml:space="preserve">. субвенції з районного бюджету на утримання дошкільних та клубних закладів) та  </w:t>
      </w:r>
      <w:r w:rsidRPr="00EC5A2E">
        <w:rPr>
          <w:b/>
          <w:lang w:val="uk-UA"/>
        </w:rPr>
        <w:t>4 549,6 тис.</w:t>
      </w:r>
      <w:r>
        <w:rPr>
          <w:b/>
          <w:lang w:val="uk-UA"/>
        </w:rPr>
        <w:t xml:space="preserve"> </w:t>
      </w:r>
      <w:r w:rsidRPr="00EC5A2E">
        <w:rPr>
          <w:b/>
          <w:lang w:val="uk-UA"/>
        </w:rPr>
        <w:t>грн.</w:t>
      </w:r>
      <w:r w:rsidRPr="00186D6D">
        <w:rPr>
          <w:lang w:val="uk-UA"/>
        </w:rPr>
        <w:t xml:space="preserve">  доходів спеціального фонду, з яких </w:t>
      </w:r>
      <w:r w:rsidRPr="00186D6D">
        <w:rPr>
          <w:b/>
          <w:lang w:val="uk-UA"/>
        </w:rPr>
        <w:t>4 </w:t>
      </w:r>
      <w:r>
        <w:rPr>
          <w:b/>
          <w:lang w:val="uk-UA"/>
        </w:rPr>
        <w:t>298,5</w:t>
      </w:r>
      <w:r w:rsidRPr="00186D6D">
        <w:rPr>
          <w:b/>
          <w:lang w:val="uk-UA"/>
        </w:rPr>
        <w:t xml:space="preserve"> тис. грн.</w:t>
      </w:r>
      <w:r w:rsidRPr="00186D6D">
        <w:rPr>
          <w:lang w:val="uk-UA"/>
        </w:rPr>
        <w:t xml:space="preserve"> – власні надходження дошкільних навчальних закладів (батьківська плата) та будинку культури  та </w:t>
      </w:r>
      <w:r w:rsidRPr="00186D6D">
        <w:rPr>
          <w:b/>
          <w:lang w:val="uk-UA"/>
        </w:rPr>
        <w:t>150,0 тис. грн.</w:t>
      </w:r>
      <w:r w:rsidRPr="00186D6D">
        <w:rPr>
          <w:lang w:val="uk-UA"/>
        </w:rPr>
        <w:t xml:space="preserve"> - надходжень від пайових внесків</w:t>
      </w:r>
      <w:r>
        <w:rPr>
          <w:lang w:val="uk-UA"/>
        </w:rPr>
        <w:t xml:space="preserve"> в розвиток інфраструктури міста</w:t>
      </w:r>
      <w:r w:rsidRPr="00186D6D">
        <w:rPr>
          <w:lang w:val="uk-UA"/>
        </w:rPr>
        <w:t>.</w:t>
      </w:r>
    </w:p>
    <w:p w:rsidR="00433698" w:rsidRDefault="00433698" w:rsidP="007C41E5">
      <w:pPr>
        <w:widowControl w:val="0"/>
        <w:ind w:firstLine="567"/>
        <w:jc w:val="center"/>
        <w:rPr>
          <w:b/>
          <w:i/>
          <w:lang w:val="uk-UA"/>
        </w:rPr>
      </w:pPr>
      <w:bookmarkStart w:id="0" w:name="_GoBack"/>
      <w:bookmarkEnd w:id="0"/>
    </w:p>
    <w:p w:rsidR="00433698" w:rsidRDefault="00433698" w:rsidP="007C41E5">
      <w:pPr>
        <w:widowControl w:val="0"/>
        <w:ind w:firstLine="567"/>
        <w:jc w:val="center"/>
        <w:rPr>
          <w:lang w:val="uk-UA"/>
        </w:rPr>
      </w:pPr>
      <w:r>
        <w:rPr>
          <w:b/>
          <w:i/>
          <w:lang w:val="uk-UA"/>
        </w:rPr>
        <w:t>ВИДАТКИ</w:t>
      </w:r>
      <w:r w:rsidRPr="00071FEC">
        <w:rPr>
          <w:b/>
          <w:i/>
          <w:lang w:val="uk-UA"/>
        </w:rPr>
        <w:t xml:space="preserve">     БЮДЖЕТУ</w:t>
      </w:r>
    </w:p>
    <w:p w:rsidR="00433698" w:rsidRDefault="00433698" w:rsidP="00165ECF">
      <w:pPr>
        <w:widowControl w:val="0"/>
        <w:ind w:firstLine="567"/>
        <w:jc w:val="both"/>
        <w:rPr>
          <w:lang w:val="uk-UA"/>
        </w:rPr>
      </w:pPr>
      <w:r w:rsidRPr="007C41E5">
        <w:rPr>
          <w:lang w:val="uk-UA"/>
        </w:rPr>
        <w:t>Видаткова частина загального фонду міського бюджету включає видатки на виконання делегованих повнова</w:t>
      </w:r>
      <w:r>
        <w:rPr>
          <w:lang w:val="uk-UA"/>
        </w:rPr>
        <w:t>ж</w:t>
      </w:r>
      <w:r w:rsidRPr="007C41E5">
        <w:rPr>
          <w:lang w:val="uk-UA"/>
        </w:rPr>
        <w:t>ень</w:t>
      </w:r>
      <w:r>
        <w:rPr>
          <w:lang w:val="uk-UA"/>
        </w:rPr>
        <w:t xml:space="preserve"> </w:t>
      </w:r>
      <w:r w:rsidRPr="007C41E5">
        <w:rPr>
          <w:lang w:val="uk-UA"/>
        </w:rPr>
        <w:t xml:space="preserve">(утримання органів місцевого самоврядування ) і  видатки на благоустрій міста та </w:t>
      </w:r>
      <w:r>
        <w:rPr>
          <w:lang w:val="uk-UA"/>
        </w:rPr>
        <w:t xml:space="preserve">видатки на </w:t>
      </w:r>
      <w:r w:rsidRPr="007C41E5">
        <w:rPr>
          <w:lang w:val="uk-UA"/>
        </w:rPr>
        <w:t>реалізацію міських програм.</w:t>
      </w:r>
    </w:p>
    <w:p w:rsidR="00433698" w:rsidRPr="00727F73" w:rsidRDefault="00433698" w:rsidP="007C41E5">
      <w:pPr>
        <w:widowControl w:val="0"/>
        <w:ind w:firstLine="567"/>
        <w:rPr>
          <w:b/>
          <w:i/>
          <w:lang w:val="uk-UA"/>
        </w:rPr>
      </w:pPr>
      <w:r w:rsidRPr="00727F73">
        <w:rPr>
          <w:b/>
          <w:i/>
          <w:lang w:val="uk-UA"/>
        </w:rPr>
        <w:t xml:space="preserve">Порівняльна таблиця видаткової частини міського бюджету у 2016 </w:t>
      </w:r>
      <w:r>
        <w:rPr>
          <w:b/>
          <w:i/>
          <w:lang w:val="uk-UA"/>
        </w:rPr>
        <w:t xml:space="preserve">і </w:t>
      </w:r>
      <w:r w:rsidRPr="00727F73">
        <w:rPr>
          <w:b/>
          <w:i/>
          <w:lang w:val="uk-UA"/>
        </w:rPr>
        <w:t xml:space="preserve"> 2017 роках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12"/>
        <w:gridCol w:w="2160"/>
        <w:gridCol w:w="2234"/>
      </w:tblGrid>
      <w:tr w:rsidR="00433698" w:rsidRPr="004B0950" w:rsidTr="00884959">
        <w:trPr>
          <w:trHeight w:val="379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b/>
                <w:bCs/>
                <w:lang w:val="uk-UA"/>
              </w:rPr>
              <w:t>Статті видатків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b/>
                <w:bCs/>
                <w:lang w:val="uk-UA"/>
              </w:rPr>
              <w:t>2016 рік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b/>
                <w:bCs/>
                <w:lang w:val="uk-UA"/>
              </w:rPr>
              <w:t>2017 рік</w:t>
            </w:r>
          </w:p>
        </w:tc>
      </w:tr>
      <w:tr w:rsidR="00433698" w:rsidRPr="004B0950" w:rsidTr="00884959">
        <w:trPr>
          <w:trHeight w:val="222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160" w:type="dxa"/>
          </w:tcPr>
          <w:p w:rsidR="00433698" w:rsidRPr="00884959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Органи місцевого самоврядування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9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> </w:t>
            </w:r>
            <w:r w:rsidRPr="004B0950">
              <w:rPr>
                <w:rFonts w:ascii="Times New Roman CYR" w:hAnsi="Times New Roman CYR" w:cs="Times New Roman CYR"/>
              </w:rPr>
              <w:t>731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564,00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13 823 000,00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Дошкільні заклади освіти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24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489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811,00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28 129 500,00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Програма підтримки ДНЗ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0,00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250 000,00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</w:rPr>
              <w:t>Інші видатки на соціальний захист населення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(Програма «Турбота», Програма «Депутатський фонд»)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1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> </w:t>
            </w:r>
            <w:r w:rsidRPr="004B0950">
              <w:rPr>
                <w:rFonts w:ascii="Times New Roman CYR" w:hAnsi="Times New Roman CYR" w:cs="Times New Roman CYR"/>
              </w:rPr>
              <w:t>347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000,00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1 700 000,00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</w:rPr>
              <w:t xml:space="preserve">Інші видатки 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>(</w:t>
            </w:r>
            <w:r w:rsidRPr="004B0950">
              <w:rPr>
                <w:rFonts w:ascii="Times New Roman CYR" w:hAnsi="Times New Roman CYR" w:cs="Times New Roman CYR"/>
              </w:rPr>
              <w:t>Програма по роботі з сім’ями, дітьми та молоддю на 2017 рік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>)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0,00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150 000,00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</w:rPr>
              <w:t>Інші видатки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r w:rsidRPr="004B0950">
              <w:rPr>
                <w:rFonts w:ascii="Times New Roman CYR" w:hAnsi="Times New Roman CYR" w:cs="Times New Roman CYR"/>
              </w:rPr>
              <w:t>Програма "Призов"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Програма підтримки заходів мобілізіційної підготовки)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50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000,00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65 000,00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Дотація житлово-комунальному господарству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7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627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420,00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6 628 300,00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</w:rPr>
              <w:t>Благоустрій міст, сіл, селищ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(ЖЕК благоустрій, КП Міська ритуал. служба, "Захист твар", "Місто без барєрів" )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12 213 633,00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13 550 000,00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Палаци і будинки культури, клуби та інші заклади клубного типу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1 322 600,00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1 420 900,00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</w:rPr>
              <w:t>Інші культурно-освітні заклади та заходи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>Програма культура)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587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837,00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1 200 000,00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</w:rPr>
              <w:t>Періодичні видання (газети та журнали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Боярк – Інформ</w:t>
            </w:r>
            <w:r w:rsidRPr="004B0950">
              <w:rPr>
                <w:rFonts w:ascii="Times New Roman CYR" w:hAnsi="Times New Roman CYR" w:cs="Times New Roman CYR"/>
              </w:rPr>
              <w:t>)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540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000,00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600 000,00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</w:rPr>
              <w:t>Проведення навчально-тренувальних зборів і змагань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(Програма спорт)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297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000,00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480 000,00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</w:rPr>
              <w:t>Інші видатки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(ДЮСШ)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611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000,00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1 100 000,00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EE631C">
            <w:pPr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</w:rPr>
              <w:t>Інші видатки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r w:rsidRPr="004B0950">
              <w:rPr>
                <w:rFonts w:ascii="Times New Roman CYR" w:hAnsi="Times New Roman CYR" w:cs="Times New Roman CYR"/>
              </w:rPr>
              <w:t>Програма "Безпечне місто"- інші придбання (символіка: прапори, вимпели, буклети,календарі, грамоти, подяки ті інша друкована продукція, товари з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символікою міста, інвентаризація доріг, земель, Програма підтримки  громад. </w:t>
            </w:r>
            <w:r>
              <w:rPr>
                <w:rFonts w:ascii="Times New Roman CYR" w:hAnsi="Times New Roman CYR" w:cs="Times New Roman CYR"/>
                <w:lang w:val="uk-UA"/>
              </w:rPr>
              <w:t>і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>ніціатив, Програма ПОТГ, Бюджет участі</w:t>
            </w:r>
            <w:r>
              <w:rPr>
                <w:rFonts w:ascii="Times New Roman CYR" w:hAnsi="Times New Roman CYR" w:cs="Times New Roman CYR"/>
                <w:lang w:val="uk-UA"/>
              </w:rPr>
              <w:t>)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</w:rPr>
            </w:pPr>
            <w:r w:rsidRPr="004B0950">
              <w:rPr>
                <w:rFonts w:ascii="Times New Roman CYR" w:hAnsi="Times New Roman CYR" w:cs="Times New Roman CYR"/>
              </w:rPr>
              <w:t>1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917</w:t>
            </w:r>
            <w:r w:rsidRPr="004B0950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</w:rPr>
              <w:t>047,00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lang w:val="uk-UA"/>
              </w:rPr>
              <w:t>4 033 700,00</w:t>
            </w:r>
          </w:p>
        </w:tc>
      </w:tr>
      <w:tr w:rsidR="00433698" w:rsidRPr="004B0950" w:rsidTr="00884959">
        <w:trPr>
          <w:trHeight w:val="300"/>
        </w:trPr>
        <w:tc>
          <w:tcPr>
            <w:tcW w:w="5812" w:type="dxa"/>
          </w:tcPr>
          <w:p w:rsidR="00433698" w:rsidRPr="004B0950" w:rsidRDefault="00433698" w:rsidP="006A1452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B0950">
              <w:rPr>
                <w:rFonts w:ascii="Times New Roman CYR" w:hAnsi="Times New Roman CYR" w:cs="Times New Roman CYR"/>
                <w:b/>
                <w:bCs/>
              </w:rPr>
              <w:t xml:space="preserve">Усього </w:t>
            </w:r>
          </w:p>
        </w:tc>
        <w:tc>
          <w:tcPr>
            <w:tcW w:w="2160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B0950">
              <w:rPr>
                <w:rFonts w:ascii="Times New Roman CYR" w:hAnsi="Times New Roman CYR" w:cs="Times New Roman CYR"/>
                <w:b/>
                <w:bCs/>
              </w:rPr>
              <w:t>61</w:t>
            </w:r>
            <w:r w:rsidRPr="004B0950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  <w:b/>
                <w:bCs/>
              </w:rPr>
              <w:t>007</w:t>
            </w:r>
            <w:r w:rsidRPr="004B0950"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 </w:t>
            </w:r>
            <w:r w:rsidRPr="004B0950">
              <w:rPr>
                <w:rFonts w:ascii="Times New Roman CYR" w:hAnsi="Times New Roman CYR" w:cs="Times New Roman CYR"/>
                <w:b/>
                <w:bCs/>
              </w:rPr>
              <w:t>154,00</w:t>
            </w:r>
          </w:p>
        </w:tc>
        <w:tc>
          <w:tcPr>
            <w:tcW w:w="2234" w:type="dxa"/>
          </w:tcPr>
          <w:p w:rsidR="00433698" w:rsidRPr="004B0950" w:rsidRDefault="00433698" w:rsidP="006A1452">
            <w:pPr>
              <w:jc w:val="right"/>
              <w:rPr>
                <w:rFonts w:ascii="Times New Roman CYR" w:hAnsi="Times New Roman CYR" w:cs="Times New Roman CYR"/>
                <w:b/>
                <w:bCs/>
                <w:lang w:val="uk-UA"/>
              </w:rPr>
            </w:pPr>
            <w:r w:rsidRPr="004B0950">
              <w:rPr>
                <w:rFonts w:ascii="Times New Roman CYR" w:hAnsi="Times New Roman CYR" w:cs="Times New Roman CYR"/>
                <w:b/>
                <w:bCs/>
                <w:lang w:val="uk-UA"/>
              </w:rPr>
              <w:t>73 130 400,00</w:t>
            </w:r>
          </w:p>
        </w:tc>
      </w:tr>
    </w:tbl>
    <w:p w:rsidR="00433698" w:rsidRDefault="00433698" w:rsidP="00884959">
      <w:pPr>
        <w:rPr>
          <w:lang w:val="uk-UA"/>
        </w:rPr>
      </w:pPr>
    </w:p>
    <w:tbl>
      <w:tblPr>
        <w:tblW w:w="3096" w:type="dxa"/>
        <w:tblLook w:val="00A0"/>
      </w:tblPr>
      <w:tblGrid>
        <w:gridCol w:w="236"/>
        <w:gridCol w:w="2624"/>
        <w:gridCol w:w="236"/>
      </w:tblGrid>
      <w:tr w:rsidR="00433698" w:rsidRPr="002D5B9B" w:rsidTr="00497CD7">
        <w:trPr>
          <w:trHeight w:val="1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3698" w:rsidRPr="002D5B9B" w:rsidRDefault="00433698" w:rsidP="002D5B9B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3698" w:rsidRPr="002D5B9B" w:rsidRDefault="00433698" w:rsidP="002D5B9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3698" w:rsidRPr="002D5B9B" w:rsidRDefault="00433698" w:rsidP="002D5B9B">
            <w:pPr>
              <w:rPr>
                <w:sz w:val="20"/>
                <w:szCs w:val="20"/>
              </w:rPr>
            </w:pPr>
          </w:p>
        </w:tc>
      </w:tr>
    </w:tbl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Для розрахунку захищених статей видатків (заробітна плата та комунальні послуги) взяті до уваги рекомендації, викладені у пояснювальній записці до державного бюджету на 2017 рік, фактичні обсяги енергоносіїв, використані у поточному році, а також очікуване збільшення мінімальної заробітної плати на 2017 рік. 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Для розрахунку потреби в коштах на оплату комунальних послуг та енергоносіїв в 2017 році установами та організаціями, що фінансуються за рахунок коштів бюджету, базові обсяги коштів пропонується збільшити в середньому на коефіцієнт 1,1095, в тому числі при визначенні видатків на: 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Оплату теплопостачання(КЕКВ 2271) на коефіцієнт 1,1235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Оплату електроенергії (КЕКВ 2273) на коефіцієнт 1,09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Оплату природного газу (КЕКВ 2274) на коефіцієнт 1,14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Оплату водопостачання та відведення  (КЕКВ 2272) та інших енергоносіїв на коефіцієнт 1,085.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 xml:space="preserve">Збільшення видатків на утримання органів місцевого самоврядування відбувається в основному за рахунок збільшення видатків по вищевказаним статтям. 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Збільшення видатків  на благоустрій міста планується  для покриття видатків на оплату праці працівників дільниці благоустрою відповідно до підвищення мінімальної заробітної плати.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Видатки на міські програми заплановані, виходячи з обсягу видатків поточного року згідно планів заходів, розроблених начальниками структурних підрозділів та спеціалістами відповідних напрямів.</w:t>
      </w:r>
    </w:p>
    <w:p w:rsidR="00433698" w:rsidRPr="00DF21B8" w:rsidRDefault="00433698" w:rsidP="00A76178">
      <w:pPr>
        <w:widowControl w:val="0"/>
        <w:ind w:firstLine="567"/>
        <w:jc w:val="both"/>
        <w:rPr>
          <w:lang w:val="uk-UA"/>
        </w:rPr>
      </w:pPr>
      <w:r w:rsidRPr="00DF21B8">
        <w:rPr>
          <w:lang w:val="uk-UA"/>
        </w:rPr>
        <w:t xml:space="preserve">Видаткова частина загального фонду розрахована в обсязі </w:t>
      </w:r>
      <w:r w:rsidRPr="00186D6D">
        <w:rPr>
          <w:b/>
          <w:lang w:val="uk-UA"/>
        </w:rPr>
        <w:t>73 130,4</w:t>
      </w:r>
      <w:r w:rsidRPr="00DF21B8">
        <w:rPr>
          <w:lang w:val="uk-UA"/>
        </w:rPr>
        <w:t xml:space="preserve"> тис.грн., в тому числі субвенція з районного бюджету </w:t>
      </w:r>
      <w:r w:rsidRPr="00186D6D">
        <w:rPr>
          <w:b/>
          <w:lang w:val="uk-UA"/>
        </w:rPr>
        <w:t>29 550,4</w:t>
      </w:r>
      <w:r w:rsidRPr="00DF21B8">
        <w:rPr>
          <w:lang w:val="uk-UA"/>
        </w:rPr>
        <w:t xml:space="preserve"> тис.грн. </w:t>
      </w:r>
    </w:p>
    <w:p w:rsidR="00433698" w:rsidRDefault="00433698" w:rsidP="003E5BAF">
      <w:pPr>
        <w:widowControl w:val="0"/>
        <w:ind w:firstLine="567"/>
        <w:rPr>
          <w:b/>
          <w:i/>
          <w:lang w:val="uk-UA"/>
        </w:rPr>
      </w:pP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 w:rsidRPr="003F3433">
        <w:rPr>
          <w:b/>
          <w:i/>
          <w:lang w:val="uk-UA"/>
        </w:rPr>
        <w:t>Профіцит</w:t>
      </w:r>
      <w:r w:rsidRPr="00C35311">
        <w:rPr>
          <w:lang w:val="uk-UA"/>
        </w:rPr>
        <w:t xml:space="preserve"> загального фонду запланований в сумі </w:t>
      </w:r>
      <w:r w:rsidRPr="00186D6D">
        <w:rPr>
          <w:b/>
          <w:lang w:val="uk-UA"/>
        </w:rPr>
        <w:t>9 420,00</w:t>
      </w:r>
      <w:r w:rsidRPr="00C35311">
        <w:rPr>
          <w:lang w:val="uk-UA"/>
        </w:rPr>
        <w:t xml:space="preserve"> тис.</w:t>
      </w:r>
      <w:r>
        <w:rPr>
          <w:lang w:val="uk-UA"/>
        </w:rPr>
        <w:t xml:space="preserve"> </w:t>
      </w:r>
      <w:r w:rsidRPr="00C35311">
        <w:rPr>
          <w:lang w:val="uk-UA"/>
        </w:rPr>
        <w:t>грн.</w:t>
      </w:r>
    </w:p>
    <w:p w:rsidR="00433698" w:rsidRDefault="00433698" w:rsidP="00A76178">
      <w:pPr>
        <w:widowControl w:val="0"/>
        <w:ind w:hanging="142"/>
        <w:jc w:val="both"/>
        <w:rPr>
          <w:lang w:val="uk-UA"/>
        </w:rPr>
      </w:pPr>
      <w:r>
        <w:rPr>
          <w:lang w:val="uk-UA"/>
        </w:rPr>
        <w:t xml:space="preserve">  Покриття видатків спеціального фонду планується здійснювати за рахунок надходжень до спеціального фонду і передачі коштів із загального до спеціального фонду.</w:t>
      </w:r>
    </w:p>
    <w:p w:rsidR="00433698" w:rsidRDefault="00433698" w:rsidP="00A76178">
      <w:pPr>
        <w:widowControl w:val="0"/>
        <w:ind w:firstLine="567"/>
        <w:jc w:val="both"/>
        <w:rPr>
          <w:lang w:val="uk-UA"/>
        </w:rPr>
      </w:pPr>
      <w:r>
        <w:rPr>
          <w:b/>
          <w:i/>
          <w:lang w:val="uk-UA"/>
        </w:rPr>
        <w:t>Де</w:t>
      </w:r>
      <w:r w:rsidRPr="003F3433">
        <w:rPr>
          <w:b/>
          <w:i/>
          <w:lang w:val="uk-UA"/>
        </w:rPr>
        <w:t>фіцит</w:t>
      </w:r>
      <w:r w:rsidRPr="00C35311">
        <w:rPr>
          <w:lang w:val="uk-UA"/>
        </w:rPr>
        <w:t xml:space="preserve"> </w:t>
      </w:r>
      <w:r>
        <w:rPr>
          <w:lang w:val="uk-UA"/>
        </w:rPr>
        <w:t>спеціального</w:t>
      </w:r>
      <w:r w:rsidRPr="00C35311">
        <w:rPr>
          <w:lang w:val="uk-UA"/>
        </w:rPr>
        <w:t xml:space="preserve"> фонду запланований в сумі </w:t>
      </w:r>
      <w:r w:rsidRPr="00186D6D">
        <w:rPr>
          <w:b/>
          <w:lang w:val="uk-UA"/>
        </w:rPr>
        <w:t>9 420,00</w:t>
      </w:r>
      <w:r w:rsidRPr="00C35311">
        <w:rPr>
          <w:lang w:val="uk-UA"/>
        </w:rPr>
        <w:t xml:space="preserve"> тис.</w:t>
      </w:r>
      <w:r>
        <w:rPr>
          <w:lang w:val="uk-UA"/>
        </w:rPr>
        <w:t xml:space="preserve"> </w:t>
      </w:r>
      <w:r w:rsidRPr="00C35311">
        <w:rPr>
          <w:lang w:val="uk-UA"/>
        </w:rPr>
        <w:t>грн.</w:t>
      </w:r>
    </w:p>
    <w:p w:rsidR="00433698" w:rsidRDefault="00433698" w:rsidP="00A76178">
      <w:pPr>
        <w:widowControl w:val="0"/>
        <w:ind w:hanging="142"/>
        <w:jc w:val="both"/>
        <w:rPr>
          <w:lang w:val="uk-UA"/>
        </w:rPr>
      </w:pPr>
      <w:r>
        <w:rPr>
          <w:lang w:val="uk-UA"/>
        </w:rPr>
        <w:t xml:space="preserve">  Покриття видатків спеціального фонду планується здійснювати за рахунок надходжень до спеціального фонду і передачі коштів із загального до спеціального фонду.</w:t>
      </w:r>
    </w:p>
    <w:p w:rsidR="00433698" w:rsidRDefault="00433698" w:rsidP="00A76178">
      <w:pPr>
        <w:widowControl w:val="0"/>
        <w:ind w:hanging="142"/>
        <w:jc w:val="both"/>
        <w:rPr>
          <w:lang w:val="uk-UA"/>
        </w:rPr>
      </w:pPr>
    </w:p>
    <w:p w:rsidR="00433698" w:rsidRDefault="00433698" w:rsidP="00165ECF">
      <w:pPr>
        <w:widowControl w:val="0"/>
        <w:ind w:firstLine="567"/>
        <w:jc w:val="center"/>
        <w:rPr>
          <w:b/>
          <w:i/>
          <w:lang w:val="uk-UA"/>
        </w:rPr>
      </w:pPr>
      <w:r w:rsidRPr="00DF21B8">
        <w:rPr>
          <w:b/>
          <w:i/>
          <w:lang w:val="uk-UA"/>
        </w:rPr>
        <w:t>Видатки бюджету розвитку в сумі 9</w:t>
      </w:r>
      <w:r>
        <w:rPr>
          <w:b/>
          <w:i/>
          <w:lang w:val="uk-UA"/>
        </w:rPr>
        <w:t xml:space="preserve"> </w:t>
      </w:r>
      <w:r w:rsidRPr="00DF21B8">
        <w:rPr>
          <w:b/>
          <w:i/>
          <w:lang w:val="uk-UA"/>
        </w:rPr>
        <w:t>570,00 тис. грн.</w:t>
      </w:r>
    </w:p>
    <w:p w:rsidR="00433698" w:rsidRPr="00DF21B8" w:rsidRDefault="00433698" w:rsidP="003F3433">
      <w:pPr>
        <w:widowControl w:val="0"/>
        <w:ind w:firstLine="567"/>
        <w:rPr>
          <w:b/>
          <w:i/>
          <w:lang w:val="uk-UA"/>
        </w:rPr>
      </w:pPr>
    </w:p>
    <w:tbl>
      <w:tblPr>
        <w:tblW w:w="10201" w:type="dxa"/>
        <w:tblLook w:val="00A0"/>
      </w:tblPr>
      <w:tblGrid>
        <w:gridCol w:w="880"/>
        <w:gridCol w:w="3368"/>
        <w:gridCol w:w="2835"/>
        <w:gridCol w:w="3118"/>
      </w:tblGrid>
      <w:tr w:rsidR="00433698" w:rsidRPr="00C4675F" w:rsidTr="00A76178">
        <w:trPr>
          <w:trHeight w:val="6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C4675F" w:rsidRDefault="00433698">
            <w:pPr>
              <w:rPr>
                <w:b/>
                <w:bCs/>
              </w:rPr>
            </w:pPr>
            <w:r w:rsidRPr="00C4675F">
              <w:rPr>
                <w:b/>
                <w:bCs/>
              </w:rPr>
              <w:t>№ з/п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C4675F" w:rsidRDefault="00433698">
            <w:pPr>
              <w:rPr>
                <w:b/>
                <w:bCs/>
              </w:rPr>
            </w:pPr>
            <w:r w:rsidRPr="00C4675F">
              <w:rPr>
                <w:b/>
                <w:bCs/>
              </w:rPr>
              <w:t>Зміст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C4675F" w:rsidRDefault="00433698">
            <w:pPr>
              <w:rPr>
                <w:b/>
                <w:bCs/>
              </w:rPr>
            </w:pPr>
            <w:r w:rsidRPr="00C4675F">
              <w:rPr>
                <w:b/>
                <w:bCs/>
              </w:rPr>
              <w:t>Сума, грн.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C4675F" w:rsidRDefault="00433698" w:rsidP="00DF21B8">
            <w:pPr>
              <w:rPr>
                <w:b/>
                <w:bCs/>
              </w:rPr>
            </w:pPr>
          </w:p>
        </w:tc>
      </w:tr>
      <w:tr w:rsidR="00433698" w:rsidRPr="00C4675F" w:rsidTr="00A76178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C4675F" w:rsidRDefault="00433698">
            <w:pPr>
              <w:rPr>
                <w:b/>
                <w:bCs/>
              </w:rPr>
            </w:pPr>
            <w:r w:rsidRPr="00C4675F">
              <w:rPr>
                <w:b/>
                <w:bCs/>
              </w:rPr>
              <w:t xml:space="preserve"> КП «Боярське головне виробниче управління житлово – комунального господарства» </w:t>
            </w:r>
          </w:p>
        </w:tc>
      </w:tr>
      <w:tr w:rsidR="00433698" w:rsidRPr="00E46592" w:rsidTr="00A7617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color w:val="000000"/>
              </w:rPr>
            </w:pPr>
            <w:r w:rsidRPr="00E46592">
              <w:rPr>
                <w:color w:val="000000"/>
              </w:rPr>
              <w:t>Придбання автотранспорту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2 500 000,00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> </w:t>
            </w:r>
          </w:p>
        </w:tc>
      </w:tr>
      <w:tr w:rsidR="00433698" w:rsidRPr="00E46592" w:rsidTr="00A76178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 xml:space="preserve">Індивідуальне опалення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200 000,00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> </w:t>
            </w:r>
          </w:p>
        </w:tc>
      </w:tr>
      <w:tr w:rsidR="00433698" w:rsidRPr="00E46592" w:rsidTr="00A76178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 xml:space="preserve">Енергозбереження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150 000,00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> </w:t>
            </w:r>
          </w:p>
        </w:tc>
      </w:tr>
      <w:tr w:rsidR="00433698" w:rsidRPr="00C4675F" w:rsidTr="00A76178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C4675F" w:rsidRDefault="00433698">
            <w:pPr>
              <w:rPr>
                <w:b/>
                <w:bCs/>
              </w:rPr>
            </w:pPr>
            <w:r w:rsidRPr="00C4675F">
              <w:rPr>
                <w:b/>
                <w:bCs/>
              </w:rPr>
              <w:t xml:space="preserve">3. КП «Боярка - Водоканал» </w:t>
            </w:r>
          </w:p>
        </w:tc>
      </w:tr>
      <w:tr w:rsidR="00433698" w:rsidRPr="00E46592" w:rsidTr="00A76178">
        <w:trPr>
          <w:trHeight w:val="5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 xml:space="preserve">Екскаватор JCB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1 500 000,00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> </w:t>
            </w:r>
          </w:p>
        </w:tc>
      </w:tr>
      <w:tr w:rsidR="00433698" w:rsidRPr="00E46592" w:rsidTr="00A76178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 xml:space="preserve">Самоскид (8т-10т)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1 900 000,00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> </w:t>
            </w:r>
          </w:p>
        </w:tc>
      </w:tr>
      <w:tr w:rsidR="00433698" w:rsidRPr="00E46592" w:rsidTr="00A7617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 xml:space="preserve">Енергозбереження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150 000,00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> </w:t>
            </w:r>
          </w:p>
        </w:tc>
      </w:tr>
      <w:tr w:rsidR="00433698" w:rsidRPr="00C4675F" w:rsidTr="00A76178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C4675F" w:rsidRDefault="00433698">
            <w:pPr>
              <w:rPr>
                <w:b/>
                <w:bCs/>
              </w:rPr>
            </w:pPr>
            <w:r w:rsidRPr="00C4675F">
              <w:rPr>
                <w:b/>
                <w:bCs/>
              </w:rPr>
              <w:t xml:space="preserve">4. Виконавчий комітет БМР </w:t>
            </w:r>
          </w:p>
        </w:tc>
      </w:tr>
      <w:tr w:rsidR="00433698" w:rsidRPr="00E46592" w:rsidTr="00A76178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color w:val="000000"/>
              </w:rPr>
            </w:pPr>
            <w:r w:rsidRPr="00E46592">
              <w:rPr>
                <w:color w:val="000000"/>
              </w:rPr>
              <w:t>Придбання автотранспорту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500 000,00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> </w:t>
            </w:r>
          </w:p>
        </w:tc>
      </w:tr>
      <w:tr w:rsidR="00433698" w:rsidRPr="00E46592" w:rsidTr="00A76178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color w:val="000000"/>
              </w:rPr>
            </w:pPr>
            <w:r w:rsidRPr="00E46592">
              <w:rPr>
                <w:color w:val="000000"/>
              </w:rPr>
              <w:t>Проекти землеустрою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150 000,00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i/>
                <w:iCs/>
              </w:rPr>
            </w:pPr>
            <w:r w:rsidRPr="00E46592">
              <w:rPr>
                <w:i/>
                <w:iCs/>
              </w:rPr>
              <w:t>землевпорядники</w:t>
            </w:r>
          </w:p>
        </w:tc>
      </w:tr>
      <w:tr w:rsidR="00433698" w:rsidRPr="00E46592" w:rsidTr="00A76178">
        <w:trPr>
          <w:trHeight w:val="23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color w:val="000000"/>
              </w:rPr>
            </w:pPr>
            <w:r w:rsidRPr="00E46592">
              <w:rPr>
                <w:color w:val="000000"/>
              </w:rPr>
              <w:t>Проектно-кошторисна на будівництво, плани зонування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2 070 000,00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i/>
                <w:iCs/>
              </w:rPr>
            </w:pPr>
            <w:r w:rsidRPr="00E46592">
              <w:rPr>
                <w:i/>
                <w:iCs/>
              </w:rPr>
              <w:t>архітект (1 770 000 грн.: план зонування -450 тис.,детальні плани територій - 700тис., топографо-геодезичні вишукуван, проектно-коштор. документація на будівництво - 520тис)., проектно-кошторисна документація на будівництво ДНЗ "Лісова казка"-300 тис.</w:t>
            </w:r>
          </w:p>
        </w:tc>
      </w:tr>
      <w:tr w:rsidR="00433698" w:rsidRPr="00E46592" w:rsidTr="00A76178">
        <w:trPr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color w:val="000000"/>
              </w:rPr>
            </w:pPr>
            <w:r w:rsidRPr="00E46592">
              <w:rPr>
                <w:color w:val="000000"/>
              </w:rPr>
              <w:t>Проектно-кошторисна на будівництво будівлі органу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300 000,00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i/>
                <w:iCs/>
              </w:rPr>
            </w:pPr>
            <w:r w:rsidRPr="00E46592">
              <w:rPr>
                <w:i/>
                <w:iCs/>
              </w:rPr>
              <w:t>архітект, проектно-кошторисна документація на будівництво нового приміщення управління.</w:t>
            </w:r>
          </w:p>
        </w:tc>
      </w:tr>
      <w:tr w:rsidR="00433698" w:rsidRPr="00C4675F" w:rsidTr="00A76178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698" w:rsidRPr="00C4675F" w:rsidRDefault="00433698">
            <w:r w:rsidRPr="00C4675F"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698" w:rsidRPr="00C4675F" w:rsidRDefault="00433698">
            <w:pPr>
              <w:rPr>
                <w:b/>
                <w:bCs/>
                <w:i/>
                <w:iCs/>
              </w:rPr>
            </w:pPr>
            <w:r w:rsidRPr="00C4675F">
              <w:rPr>
                <w:b/>
                <w:bCs/>
                <w:i/>
                <w:iCs/>
              </w:rPr>
              <w:t>ВСЬОГО СФ за рахунок передачі із ЗФ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C4675F" w:rsidRDefault="00433698">
            <w:pPr>
              <w:rPr>
                <w:b/>
                <w:bCs/>
                <w:i/>
                <w:iCs/>
              </w:rPr>
            </w:pPr>
            <w:r w:rsidRPr="00C4675F">
              <w:rPr>
                <w:b/>
                <w:bCs/>
                <w:i/>
                <w:iCs/>
              </w:rPr>
              <w:t>9 420 000,00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C4675F" w:rsidRDefault="00433698">
            <w:pPr>
              <w:rPr>
                <w:i/>
                <w:iCs/>
                <w:color w:val="000000"/>
              </w:rPr>
            </w:pPr>
            <w:r w:rsidRPr="00C4675F">
              <w:rPr>
                <w:i/>
                <w:iCs/>
                <w:color w:val="000000"/>
              </w:rPr>
              <w:t> </w:t>
            </w:r>
          </w:p>
        </w:tc>
      </w:tr>
      <w:tr w:rsidR="00433698" w:rsidRPr="00C4675F" w:rsidTr="00A76178">
        <w:trPr>
          <w:trHeight w:val="19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5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r w:rsidRPr="00E46592">
              <w:t>Прибання та встановлення скульптури в парку Перемоги "Воїнам, що загинули під час ппроведення АТО" та "Героям Небесної Сотні"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E46592" w:rsidRDefault="00433698">
            <w:pPr>
              <w:rPr>
                <w:bCs/>
              </w:rPr>
            </w:pPr>
            <w:r w:rsidRPr="00E46592">
              <w:rPr>
                <w:bCs/>
              </w:rPr>
              <w:t>150 000,00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698" w:rsidRPr="00C4675F" w:rsidRDefault="00433698">
            <w:pPr>
              <w:rPr>
                <w:i/>
                <w:iCs/>
              </w:rPr>
            </w:pPr>
            <w:r w:rsidRPr="00C4675F">
              <w:rPr>
                <w:i/>
                <w:iCs/>
              </w:rPr>
              <w:t>за рахунок надходження від пайової участі (бюджет розвитку)</w:t>
            </w:r>
          </w:p>
        </w:tc>
      </w:tr>
    </w:tbl>
    <w:p w:rsidR="00433698" w:rsidRPr="00C35311" w:rsidRDefault="00433698" w:rsidP="00967204">
      <w:pPr>
        <w:widowControl w:val="0"/>
        <w:ind w:right="2976" w:firstLine="567"/>
        <w:rPr>
          <w:lang w:val="uk-UA"/>
        </w:rPr>
      </w:pPr>
    </w:p>
    <w:p w:rsidR="00433698" w:rsidRPr="00C35311" w:rsidRDefault="00433698" w:rsidP="00360E31">
      <w:pPr>
        <w:widowControl w:val="0"/>
        <w:ind w:firstLine="567"/>
        <w:jc w:val="both"/>
        <w:rPr>
          <w:lang w:val="uk-UA"/>
        </w:rPr>
      </w:pPr>
    </w:p>
    <w:sectPr w:rsidR="00433698" w:rsidRPr="00C35311" w:rsidSect="0096720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331EB"/>
    <w:multiLevelType w:val="singleLevel"/>
    <w:tmpl w:val="A75C0AC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4D516AC6"/>
    <w:multiLevelType w:val="hybridMultilevel"/>
    <w:tmpl w:val="80A6D310"/>
    <w:lvl w:ilvl="0" w:tplc="FFFFFFFF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>
    <w:nsid w:val="5F2B34D5"/>
    <w:multiLevelType w:val="hybridMultilevel"/>
    <w:tmpl w:val="3B2099F6"/>
    <w:lvl w:ilvl="0" w:tplc="0CFC6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2C6"/>
    <w:rsid w:val="00071FEC"/>
    <w:rsid w:val="000C1450"/>
    <w:rsid w:val="00165ECF"/>
    <w:rsid w:val="00186D6D"/>
    <w:rsid w:val="00194F2A"/>
    <w:rsid w:val="001C56EE"/>
    <w:rsid w:val="001F57F9"/>
    <w:rsid w:val="00284B7C"/>
    <w:rsid w:val="002D5B9B"/>
    <w:rsid w:val="002E21B7"/>
    <w:rsid w:val="003255B5"/>
    <w:rsid w:val="003462C6"/>
    <w:rsid w:val="00360E31"/>
    <w:rsid w:val="003C0A37"/>
    <w:rsid w:val="003E5BAF"/>
    <w:rsid w:val="003F3433"/>
    <w:rsid w:val="00433698"/>
    <w:rsid w:val="00472AC9"/>
    <w:rsid w:val="0048367A"/>
    <w:rsid w:val="0049109F"/>
    <w:rsid w:val="00497CD7"/>
    <w:rsid w:val="004B0950"/>
    <w:rsid w:val="004F0716"/>
    <w:rsid w:val="00565313"/>
    <w:rsid w:val="00573574"/>
    <w:rsid w:val="00574225"/>
    <w:rsid w:val="006A1452"/>
    <w:rsid w:val="00727F73"/>
    <w:rsid w:val="00776633"/>
    <w:rsid w:val="00792384"/>
    <w:rsid w:val="007C41E5"/>
    <w:rsid w:val="00884959"/>
    <w:rsid w:val="008C3046"/>
    <w:rsid w:val="008C4378"/>
    <w:rsid w:val="00940EE6"/>
    <w:rsid w:val="00967204"/>
    <w:rsid w:val="009A04B6"/>
    <w:rsid w:val="00A76178"/>
    <w:rsid w:val="00B01AE8"/>
    <w:rsid w:val="00C35311"/>
    <w:rsid w:val="00C4675F"/>
    <w:rsid w:val="00C83CF4"/>
    <w:rsid w:val="00C96DC6"/>
    <w:rsid w:val="00CD7D83"/>
    <w:rsid w:val="00CE474C"/>
    <w:rsid w:val="00D24EF2"/>
    <w:rsid w:val="00DF21B8"/>
    <w:rsid w:val="00E46592"/>
    <w:rsid w:val="00E7736A"/>
    <w:rsid w:val="00E80548"/>
    <w:rsid w:val="00EC5A2E"/>
    <w:rsid w:val="00ED62B2"/>
    <w:rsid w:val="00EE24FD"/>
    <w:rsid w:val="00EE631C"/>
    <w:rsid w:val="00E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C83C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CF4"/>
    <w:rPr>
      <w:rFonts w:ascii="Arial" w:hAnsi="Arial" w:cs="Arial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CF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BodyText">
    <w:name w:val="Body Text"/>
    <w:basedOn w:val="Normal"/>
    <w:link w:val="BodyTextChar"/>
    <w:uiPriority w:val="99"/>
    <w:rsid w:val="00C83CF4"/>
    <w:rPr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83CF4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C83CF4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83CF4"/>
    <w:rPr>
      <w:rFonts w:ascii="Times New Roman" w:hAnsi="Times New Roman" w:cs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C83C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C83CF4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C83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83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3C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9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10</Pages>
  <Words>4216</Words>
  <Characters>24037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27</cp:revision>
  <cp:lastPrinted>2016-12-13T14:14:00Z</cp:lastPrinted>
  <dcterms:created xsi:type="dcterms:W3CDTF">2016-12-13T08:16:00Z</dcterms:created>
  <dcterms:modified xsi:type="dcterms:W3CDTF">2016-12-21T16:07:00Z</dcterms:modified>
</cp:coreProperties>
</file>